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A9" w:rsidRPr="00872019" w:rsidRDefault="009130A9" w:rsidP="009130A9">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9130A9" w:rsidRPr="00872019" w:rsidRDefault="009130A9" w:rsidP="009130A9">
      <w:pPr>
        <w:spacing w:after="0" w:line="240" w:lineRule="exact"/>
        <w:ind w:left="5400"/>
        <w:jc w:val="both"/>
        <w:rPr>
          <w:rFonts w:ascii="Times New Roman" w:eastAsia="Times New Roman" w:hAnsi="Times New Roman" w:cs="Times New Roman"/>
          <w:sz w:val="28"/>
          <w:szCs w:val="28"/>
        </w:rPr>
      </w:pPr>
    </w:p>
    <w:p w:rsidR="009130A9" w:rsidRPr="00872019" w:rsidRDefault="009130A9" w:rsidP="009130A9">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9130A9" w:rsidRPr="00872019" w:rsidRDefault="009130A9" w:rsidP="009130A9">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9130A9" w:rsidRPr="00872019" w:rsidRDefault="009130A9" w:rsidP="009130A9">
      <w:pPr>
        <w:spacing w:after="0" w:line="240" w:lineRule="exact"/>
        <w:ind w:left="5400"/>
        <w:jc w:val="both"/>
        <w:rPr>
          <w:rFonts w:ascii="Times New Roman" w:eastAsia="Times New Roman" w:hAnsi="Times New Roman" w:cs="Times New Roman"/>
          <w:sz w:val="28"/>
          <w:szCs w:val="28"/>
        </w:rPr>
      </w:pPr>
    </w:p>
    <w:p w:rsidR="009130A9" w:rsidRPr="00872019" w:rsidRDefault="009130A9" w:rsidP="009130A9">
      <w:pPr>
        <w:spacing w:after="0" w:line="240" w:lineRule="exact"/>
        <w:ind w:left="5400"/>
        <w:jc w:val="both"/>
        <w:rPr>
          <w:rFonts w:ascii="Times New Roman" w:eastAsia="Times New Roman" w:hAnsi="Times New Roman" w:cs="Times New Roman"/>
          <w:sz w:val="28"/>
          <w:szCs w:val="28"/>
        </w:rPr>
      </w:pPr>
    </w:p>
    <w:p w:rsidR="009130A9" w:rsidRPr="00872019" w:rsidRDefault="009130A9" w:rsidP="009130A9">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9130A9" w:rsidRPr="00872019" w:rsidRDefault="009130A9" w:rsidP="009130A9">
      <w:pPr>
        <w:spacing w:after="0" w:line="240" w:lineRule="exact"/>
        <w:ind w:left="5400"/>
        <w:jc w:val="both"/>
        <w:rPr>
          <w:rFonts w:ascii="Times New Roman" w:eastAsia="Times New Roman" w:hAnsi="Times New Roman" w:cs="Times New Roman"/>
          <w:sz w:val="28"/>
          <w:szCs w:val="28"/>
        </w:rPr>
      </w:pPr>
    </w:p>
    <w:p w:rsidR="009130A9" w:rsidRPr="00872019" w:rsidRDefault="009130A9" w:rsidP="009130A9">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9130A9" w:rsidRPr="00872019" w:rsidRDefault="009130A9" w:rsidP="009130A9">
      <w:pPr>
        <w:spacing w:after="0" w:line="240" w:lineRule="exact"/>
        <w:ind w:left="7080"/>
        <w:jc w:val="both"/>
        <w:rPr>
          <w:rFonts w:ascii="Times New Roman" w:eastAsia="Times New Roman" w:hAnsi="Times New Roman" w:cs="Times New Roman"/>
          <w:sz w:val="28"/>
          <w:szCs w:val="28"/>
        </w:rPr>
      </w:pPr>
    </w:p>
    <w:p w:rsidR="009130A9" w:rsidRDefault="009130A9" w:rsidP="009130A9">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9130A9" w:rsidRPr="00C7154E" w:rsidRDefault="009130A9" w:rsidP="009130A9">
      <w:pPr>
        <w:rPr>
          <w:rFonts w:ascii="Times New Roman" w:hAnsi="Times New Roman" w:cs="Times New Roman"/>
          <w:sz w:val="28"/>
          <w:szCs w:val="28"/>
        </w:rPr>
      </w:pPr>
    </w:p>
    <w:p w:rsidR="009130A9" w:rsidRPr="00C7154E" w:rsidRDefault="009130A9" w:rsidP="009130A9">
      <w:pPr>
        <w:pStyle w:val="1"/>
        <w:pBdr>
          <w:bottom w:val="single" w:sz="6" w:space="19" w:color="D1181A"/>
        </w:pBdr>
        <w:spacing w:before="0" w:beforeAutospacing="0" w:after="225" w:afterAutospacing="0" w:line="360" w:lineRule="atLeast"/>
        <w:ind w:firstLine="708"/>
        <w:rPr>
          <w:b w:val="0"/>
          <w:bCs w:val="0"/>
          <w:sz w:val="28"/>
          <w:szCs w:val="28"/>
        </w:rPr>
      </w:pPr>
      <w:r w:rsidRPr="00C7154E">
        <w:rPr>
          <w:b w:val="0"/>
          <w:bCs w:val="0"/>
          <w:sz w:val="28"/>
          <w:szCs w:val="28"/>
        </w:rPr>
        <w:t>Обзор судебной практики по делам, связанным с реализацией права на материнский (семейный) капитал</w:t>
      </w:r>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Президиумом Верховного Суда Российской Федерации 22.06.2016 утвержден Обзор судебной практики по делам, связанным с реализацией права на материнский (семейный) капитал.</w:t>
      </w:r>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В документе приведены правовые позиции суда по вопросам применения Федерального закона от 29.12.2006 № 265-ФЗ «О дополнительных мерах государственной поддержки семей, имеющих детей».</w:t>
      </w:r>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В частности, разъяснено, что право на дополнительные меры государственной поддержки возникает при наличии гражданства Российской Федерации на дату рождения (усыновления) ребенка как у женщины, родившей (усыновившей) ребенка, так и у ребенка, с рождением (усыновлением) которого закон связывает возникновение этого права.</w:t>
      </w:r>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В случае рождения первого или второго ребенка мертвым у женщины не возникает право на дополнительные меры государственной поддержки в соответствии с указанным Федеральным</w:t>
      </w:r>
      <w:r w:rsidRPr="00C7154E">
        <w:rPr>
          <w:rStyle w:val="apple-converted-space"/>
          <w:sz w:val="28"/>
          <w:szCs w:val="28"/>
        </w:rPr>
        <w:t> </w:t>
      </w:r>
      <w:hyperlink r:id="rId4" w:history="1">
        <w:r w:rsidRPr="00C7154E">
          <w:rPr>
            <w:rStyle w:val="a4"/>
            <w:sz w:val="28"/>
            <w:szCs w:val="28"/>
          </w:rPr>
          <w:t>законом</w:t>
        </w:r>
      </w:hyperlink>
      <w:r w:rsidRPr="00C7154E">
        <w:rPr>
          <w:sz w:val="28"/>
          <w:szCs w:val="28"/>
        </w:rPr>
        <w:t>.</w:t>
      </w:r>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Дети, в отношении которых женщина была лишена родительских прав, а также дети, приходившиеся ей пасынками (падчерицами) и впоследствии усыновленные ею, не учитываются при определении ее права на материнский (семейный) капитал.</w:t>
      </w:r>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Установленный законом перечень денежных обязательств, а также видов договоров, опосредующих такие обязательства, на погашение которых могут быть направлены средства материнского (семейного) капитала до истечения трех лет со дня рождения (усыновления) второго, третьего ребенка или последующих детей, является исчерпывающим. Федеральный</w:t>
      </w:r>
      <w:r w:rsidRPr="00C7154E">
        <w:rPr>
          <w:rStyle w:val="apple-converted-space"/>
          <w:sz w:val="28"/>
          <w:szCs w:val="28"/>
        </w:rPr>
        <w:t> </w:t>
      </w:r>
      <w:hyperlink r:id="rId5" w:history="1">
        <w:r w:rsidRPr="00C7154E">
          <w:rPr>
            <w:rStyle w:val="a4"/>
            <w:sz w:val="28"/>
            <w:szCs w:val="28"/>
          </w:rPr>
          <w:t>закон</w:t>
        </w:r>
      </w:hyperlink>
      <w:r w:rsidRPr="00C7154E">
        <w:rPr>
          <w:rStyle w:val="apple-converted-space"/>
          <w:sz w:val="28"/>
          <w:szCs w:val="28"/>
        </w:rPr>
        <w:t> </w:t>
      </w:r>
      <w:r w:rsidRPr="00C7154E">
        <w:rPr>
          <w:sz w:val="28"/>
          <w:szCs w:val="28"/>
        </w:rPr>
        <w:t>не содержит указания на возможность использования средств материнского (семейного) капитала до достижения ребенком трех лет на погашение основного долга по договору купли-продажи.</w:t>
      </w:r>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 xml:space="preserve">Приобретение доли в праве собственности на жилое помещение, размер которой позволяет выделить в пользование изолированное жилое </w:t>
      </w:r>
      <w:r w:rsidRPr="00C7154E">
        <w:rPr>
          <w:sz w:val="28"/>
          <w:szCs w:val="28"/>
        </w:rPr>
        <w:lastRenderedPageBreak/>
        <w:t>помещение, свидетельствует об улучшении жилищных условий семьи лица, получившего сертификат на материнский (семейный) капитал, а потому является допустимым.</w:t>
      </w:r>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 xml:space="preserve">Приобретаемое с использованием средств материнского (семейного) капитала жилое помещение должно отвечать установленным санитарным и техническим правилам и нормам, а также иным требованиям законодательства. </w:t>
      </w:r>
      <w:proofErr w:type="gramStart"/>
      <w:r w:rsidRPr="00C7154E">
        <w:rPr>
          <w:sz w:val="28"/>
          <w:szCs w:val="28"/>
        </w:rPr>
        <w:t>Отсутствие принятого в установленном порядке решения органа местного самоуправления о признании жилого помещения непригодным для проживания само по себе не может служить основанием для удовлетворения судом требования лица о направлении средств материнского (семейного) капитала на приобретение этого жилого помещения, если судом установлено, что жилое помещение не отвечает установленным санитарным и техническим правилам и нормам, а также иным требованиям законодательства.</w:t>
      </w:r>
      <w:proofErr w:type="gramEnd"/>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Требование закона о документальном подтверждении безналичного получения гражданином займа на приобретение (строительство) жилого помещения распространяется на лиц, имеющих право на дополнительные меры государственной поддержки и заключивших договор займа после 7 июня 2013 года.</w:t>
      </w:r>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Лицо, имеющее право на дополнительные меры государственной поддержки, и получившее сертификат, в случае возврата ранее перечисленных средств материнского (семейного) капитала соответствующему органу Пенсионного фонда Российской Федерации (при расторжении договора) не может быть лишено права на распоряжение средствами материнского (семейного) капитала.</w:t>
      </w:r>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Доли в праве собственности на жилое помещение, приобретенное с использованием средств материнского (семейного) капитала, определяются исходя из равенства долей родителей и детей на средства материнского (семейного) капитала, а не на все средства, за счет которых было приобретено жилое помещение. Доли родителей и детей в праве собственности на жилой дом, приобретенный исключительно за счет средств материнского (семейного) капитала, являются равными.</w:t>
      </w:r>
    </w:p>
    <w:p w:rsidR="009130A9" w:rsidRPr="00C7154E" w:rsidRDefault="009130A9" w:rsidP="009130A9">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Текст Обзора можно найти на официальном сайте Верховного Суда Российской Федерации.</w:t>
      </w:r>
    </w:p>
    <w:p w:rsidR="009130A9" w:rsidRPr="00C7154E" w:rsidRDefault="009130A9" w:rsidP="009130A9">
      <w:pPr>
        <w:rPr>
          <w:rFonts w:ascii="Times New Roman" w:hAnsi="Times New Roman" w:cs="Times New Roman"/>
          <w:sz w:val="28"/>
          <w:szCs w:val="28"/>
        </w:rPr>
      </w:pPr>
    </w:p>
    <w:p w:rsidR="009130A9" w:rsidRPr="00C7154E" w:rsidRDefault="009130A9" w:rsidP="009130A9">
      <w:pPr>
        <w:rPr>
          <w:rFonts w:ascii="Times New Roman" w:hAnsi="Times New Roman" w:cs="Times New Roman"/>
          <w:sz w:val="28"/>
          <w:szCs w:val="28"/>
        </w:rPr>
      </w:pPr>
    </w:p>
    <w:p w:rsidR="00CF457D" w:rsidRDefault="00CF457D"/>
    <w:sectPr w:rsidR="00CF457D" w:rsidSect="00CF4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0A9"/>
    <w:rsid w:val="009130A9"/>
    <w:rsid w:val="00CF4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A9"/>
    <w:rPr>
      <w:rFonts w:eastAsiaTheme="minorEastAsia"/>
      <w:lang w:eastAsia="ru-RU"/>
    </w:rPr>
  </w:style>
  <w:style w:type="paragraph" w:styleId="1">
    <w:name w:val="heading 1"/>
    <w:basedOn w:val="a"/>
    <w:link w:val="10"/>
    <w:uiPriority w:val="9"/>
    <w:qFormat/>
    <w:rsid w:val="00913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0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30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130A9"/>
    <w:rPr>
      <w:color w:val="0000FF"/>
      <w:u w:val="single"/>
    </w:rPr>
  </w:style>
  <w:style w:type="character" w:customStyle="1" w:styleId="apple-converted-space">
    <w:name w:val="apple-converted-space"/>
    <w:basedOn w:val="a0"/>
    <w:rsid w:val="009130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4AC8140431F29941D8748F30674F284724EB47E4A55A14314AE2177E63D0M" TargetMode="External"/><Relationship Id="rId4" Type="http://schemas.openxmlformats.org/officeDocument/2006/relationships/hyperlink" Target="consultantplus://offline/ref=524AC8140431F29941D8748F30674F284724EB47E4A55A14314AE2177E63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Company>Nadm</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2016-09-27T07:49:00Z</dcterms:created>
  <dcterms:modified xsi:type="dcterms:W3CDTF">2016-09-27T07:49:00Z</dcterms:modified>
</cp:coreProperties>
</file>