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240" w:before="0" w:after="150"/>
        <w:rPr>
          <w:b/>
          <w:b/>
          <w:bCs/>
          <w:sz w:val="36"/>
          <w:szCs w:val="36"/>
        </w:rPr>
      </w:pPr>
      <w:r>
        <w:rPr>
          <w:rFonts w:eastAsia="Times New Roman" w:cs="Times New Roman" w:ascii="Times New Roman" w:hAnsi="Times New Roman"/>
          <w:b/>
          <w:bCs/>
          <w:sz w:val="36"/>
          <w:szCs w:val="36"/>
          <w:lang w:val="ru-RU" w:eastAsia="ru-RU"/>
        </w:rPr>
        <w:t>У кого есть право на ежемесячную денежную выплату и как рассчитать доход.</w:t>
      </w:r>
    </w:p>
    <w:p>
      <w:pPr>
        <w:pStyle w:val="Normal"/>
        <w:shd w:val="clear" w:color="auto" w:fill="FFFFFF"/>
        <w:spacing w:lineRule="auto" w:line="240" w:before="0" w:after="150"/>
        <w:rPr/>
      </w:pPr>
      <w:r>
        <w:rPr>
          <w:rFonts w:eastAsia="Times New Roman" w:cs="Times New Roman" w:ascii="Times New Roman" w:hAnsi="Times New Roman"/>
          <w:sz w:val="28"/>
          <w:szCs w:val="28"/>
          <w:lang w:val="ru-RU" w:eastAsia="ru-RU"/>
        </w:rPr>
        <w:t xml:space="preserve">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Право на получение ежемесячной денежной выплаты имеют семьи, постоянно проживающие на территории РФ, если: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Autospacing="1" w:afterAutospacing="1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Второй ребенок и мама – граждане Российской Федерации;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Autospacing="1" w:afterAutospacing="1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Второй ребенок появился в семье после 1 января 2018 года;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Autospacing="1" w:afterAutospacing="1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Размер дохода на одного члена семьи не превышает 1,5-кратную величину прожиточного минимума трудоспособного населения, установленную в субъекте Российской Федерации на II квартал прошлого года.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При расчете учитываются доходы семьи (родители несовершеннолетних детей, супруги родителей несовершеннолетних детей, несовершеннолетние дети), полученные в денежной форме: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Autospacing="1" w:afterAutospacing="1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Заработная плата, премии;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Autospacing="1" w:afterAutospacing="1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Пенсии, пособия, оплата больничных, стипендии, алименты;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Autospacing="1" w:afterAutospacing="1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Выплаты пенсионных накоплений правопреемникам;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Autospacing="1" w:afterAutospacing="1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Компенсации, выплачиваемые государственным органом или общественным объединением в период исполнение государственных и общественных обязанностей;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Autospacing="1" w:afterAutospacing="1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Денежные компенсации и довольствие военнослужащих, сотрудников органов внутренних дел и других правоохранительных органов</w:t>
      </w:r>
    </w:p>
    <w:p>
      <w:pPr>
        <w:pStyle w:val="Normal"/>
        <w:shd w:val="clear" w:color="auto" w:fill="FFFFFF"/>
        <w:spacing w:lineRule="auto" w:line="240" w:before="0" w:after="150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Не учитываются: суммы единовременной материальной помощи из федерального бюджета в связи чрезвычайными происшествиями.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Чтобы понять, имеет ли семья право на выплату, нужно взять общую сумму доходов семьи за последние 12 календарных месяцев, разделить ее на 12, а потом разделить на количество членов семьи, включая рожденного ребенка. Если полученная сумма меньше 1,5-кратного прожиточного минимума, семья имеет право на получение ежемесячной выплаты из средств материнского капитала.</w:t>
      </w:r>
    </w:p>
    <w:p>
      <w:pPr>
        <w:pStyle w:val="Normal"/>
        <w:spacing w:lineRule="auto" w:line="240" w:before="0" w:after="24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С 1 января этого года доход на каждого члена семьи, для получения ежемесячной выплаты в Ленинградской области должен быть ниже 15 747 рублей. Размер выплаты для жителей Ленинградской области в 2019 году составляет 9 680 рублей.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cb2dba"/>
    <w:rPr>
      <w:b/>
      <w:bCs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cb2db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LibreOffice/4.4.3.2$Windows_x86 LibreOffice_project/88805f81e9fe61362df02b9941de8e38a9b5fd16</Application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2019-03-03T10:14:00Z</dcterms:created>
  <dc:creator>Андрей Иванов</dc:creator>
  <dc:language>ru-RU</dc:language>
  <dcterms:modified xsi:type="dcterms:W3CDTF">2019-03-04T08:51:58Z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