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6D" w:rsidRPr="00C14D05" w:rsidRDefault="005C076D" w:rsidP="0042298C">
      <w:pPr>
        <w:autoSpaceDE w:val="0"/>
        <w:autoSpaceDN w:val="0"/>
        <w:adjustRightInd w:val="0"/>
        <w:jc w:val="both"/>
      </w:pP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Назиевское городское поселение 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B0550" w:rsidRPr="00C14D05" w:rsidRDefault="00F42FD9" w:rsidP="00CB0550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3C19">
        <w:rPr>
          <w:rFonts w:ascii="Times New Roman" w:hAnsi="Times New Roman" w:cs="Times New Roman"/>
          <w:b/>
          <w:sz w:val="24"/>
          <w:szCs w:val="24"/>
        </w:rPr>
        <w:t>30</w:t>
      </w:r>
      <w:r w:rsidR="00CB0550" w:rsidRPr="00C14D05">
        <w:rPr>
          <w:rFonts w:ascii="Times New Roman" w:hAnsi="Times New Roman" w:cs="Times New Roman"/>
          <w:b/>
          <w:sz w:val="24"/>
          <w:szCs w:val="24"/>
        </w:rPr>
        <w:t xml:space="preserve"> ноября 2022 года № </w:t>
      </w:r>
      <w:r w:rsidR="00BA3C19">
        <w:rPr>
          <w:rFonts w:ascii="Times New Roman" w:hAnsi="Times New Roman" w:cs="Times New Roman"/>
          <w:b/>
          <w:sz w:val="24"/>
          <w:szCs w:val="24"/>
        </w:rPr>
        <w:t>276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 w:rsidRPr="00C14D0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Pr="00C14D05" w:rsidRDefault="00F42FD9" w:rsidP="00AE0B14">
      <w:pPr>
        <w:ind w:left="4536" w:firstLine="142"/>
        <w:jc w:val="center"/>
        <w:rPr>
          <w:color w:val="000000"/>
          <w:sz w:val="28"/>
          <w:szCs w:val="28"/>
        </w:rPr>
      </w:pPr>
    </w:p>
    <w:p w:rsidR="00F42FD9" w:rsidRPr="00C14D05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b/>
          <w:color w:val="000000"/>
          <w:sz w:val="28"/>
          <w:szCs w:val="28"/>
        </w:rPr>
        <w:t>23</w:t>
      </w:r>
      <w:r w:rsidRPr="00C14D05">
        <w:rPr>
          <w:b/>
          <w:color w:val="000000"/>
          <w:sz w:val="28"/>
          <w:szCs w:val="28"/>
        </w:rPr>
        <w:t>-20</w:t>
      </w:r>
      <w:r w:rsidR="00CB0550" w:rsidRPr="00C14D05">
        <w:rPr>
          <w:b/>
          <w:color w:val="000000"/>
          <w:sz w:val="28"/>
          <w:szCs w:val="28"/>
        </w:rPr>
        <w:t>25</w:t>
      </w:r>
      <w:r w:rsidRPr="00C14D05">
        <w:rPr>
          <w:b/>
          <w:color w:val="000000"/>
          <w:sz w:val="28"/>
          <w:szCs w:val="28"/>
        </w:rPr>
        <w:t xml:space="preserve"> годы»</w:t>
      </w: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610AF7" w:rsidRPr="00F918FD" w:rsidRDefault="00610AF7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A60BE7" w:rsidRPr="00F918FD" w:rsidRDefault="00A60BE7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C14D05" w:rsidRDefault="00156592" w:rsidP="00F42FD9">
      <w:pPr>
        <w:jc w:val="center"/>
        <w:rPr>
          <w:sz w:val="28"/>
          <w:szCs w:val="28"/>
        </w:rPr>
      </w:pPr>
      <w:r w:rsidRPr="00C14D05">
        <w:rPr>
          <w:sz w:val="28"/>
          <w:szCs w:val="28"/>
        </w:rPr>
        <w:t>г.</w:t>
      </w:r>
      <w:r w:rsidR="00F42FD9" w:rsidRPr="00C14D05">
        <w:rPr>
          <w:sz w:val="28"/>
          <w:szCs w:val="28"/>
        </w:rPr>
        <w:t>п. Назия</w:t>
      </w:r>
    </w:p>
    <w:p w:rsidR="00F42FD9" w:rsidRPr="00C14D05" w:rsidRDefault="00F42FD9" w:rsidP="00F42FD9">
      <w:pPr>
        <w:jc w:val="center"/>
        <w:rPr>
          <w:sz w:val="26"/>
          <w:szCs w:val="26"/>
        </w:rPr>
      </w:pPr>
      <w:r w:rsidRPr="00C14D05">
        <w:rPr>
          <w:sz w:val="28"/>
          <w:szCs w:val="28"/>
        </w:rPr>
        <w:t>20</w:t>
      </w:r>
      <w:r w:rsidR="00CB0550" w:rsidRPr="00C14D05">
        <w:rPr>
          <w:sz w:val="28"/>
          <w:szCs w:val="28"/>
        </w:rPr>
        <w:t>22</w:t>
      </w:r>
      <w:r w:rsidRPr="00C14D05">
        <w:rPr>
          <w:sz w:val="28"/>
          <w:szCs w:val="28"/>
        </w:rPr>
        <w:t xml:space="preserve"> год</w:t>
      </w:r>
      <w:r w:rsidRPr="00C14D05">
        <w:rPr>
          <w:sz w:val="28"/>
          <w:szCs w:val="28"/>
        </w:rPr>
        <w:br w:type="page"/>
      </w:r>
      <w:bookmarkStart w:id="0" w:name="P32"/>
      <w:bookmarkEnd w:id="0"/>
    </w:p>
    <w:p w:rsidR="00A758B5" w:rsidRPr="00C14D05" w:rsidRDefault="00A758B5" w:rsidP="00F42FD9">
      <w:pPr>
        <w:jc w:val="center"/>
        <w:outlineLvl w:val="0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</w:t>
      </w:r>
      <w:r w:rsidR="00662BCA"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</w:t>
      </w:r>
      <w:r w:rsidRPr="00C14D05">
        <w:rPr>
          <w:b/>
          <w:color w:val="000000"/>
          <w:sz w:val="28"/>
          <w:szCs w:val="28"/>
        </w:rPr>
        <w:t>»</w:t>
      </w:r>
    </w:p>
    <w:p w:rsidR="00F42FD9" w:rsidRPr="00C14D05" w:rsidRDefault="00F42FD9" w:rsidP="00F42FD9">
      <w:pPr>
        <w:jc w:val="center"/>
        <w:rPr>
          <w:sz w:val="28"/>
          <w:szCs w:val="28"/>
          <w:u w:val="single"/>
        </w:rPr>
      </w:pP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ПАСПОРТ</w:t>
      </w: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МУНИЦИПАЛЬНОЙ ПРОГРАММЫ</w:t>
      </w:r>
    </w:p>
    <w:p w:rsidR="00662BCA" w:rsidRPr="00C14D05" w:rsidRDefault="00662BCA" w:rsidP="00662BCA">
      <w:pPr>
        <w:jc w:val="center"/>
        <w:rPr>
          <w:sz w:val="28"/>
          <w:szCs w:val="28"/>
          <w:u w:val="single"/>
        </w:rPr>
      </w:pPr>
      <w:r w:rsidRPr="00C14D05">
        <w:rPr>
          <w:sz w:val="28"/>
          <w:szCs w:val="28"/>
        </w:rPr>
        <w:t>«</w:t>
      </w:r>
      <w:r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</w:r>
    </w:p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62BCA" w:rsidRPr="00C14D05" w:rsidTr="00E83375">
        <w:trPr>
          <w:trHeight w:val="711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2023-2025 годы</w:t>
            </w:r>
          </w:p>
        </w:tc>
      </w:tr>
      <w:tr w:rsidR="00662BCA" w:rsidRPr="00C14D05" w:rsidTr="00E83375">
        <w:trPr>
          <w:trHeight w:val="835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Ответственный 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исполнитель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662BCA" w:rsidRPr="00C14D05" w:rsidTr="00E83375">
        <w:trPr>
          <w:trHeight w:val="563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Участники </w:t>
            </w:r>
          </w:p>
          <w:p w:rsidR="00662BCA" w:rsidRPr="00C14D05" w:rsidRDefault="00662BCA" w:rsidP="00E83375">
            <w:pPr>
              <w:snapToGrid w:val="0"/>
            </w:pPr>
            <w:r w:rsidRPr="00C14D05">
              <w:t>муниципальной программы</w:t>
            </w:r>
          </w:p>
        </w:tc>
        <w:tc>
          <w:tcPr>
            <w:tcW w:w="6095" w:type="dxa"/>
          </w:tcPr>
          <w:p w:rsidR="00662BCA" w:rsidRPr="00C14D05" w:rsidRDefault="00194CC0" w:rsidP="00E8337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области, жители муниципального образования Назиевское городское поселение Кировского муниципального района Ленинградской области, заинтересованные лица</w:t>
            </w:r>
          </w:p>
        </w:tc>
      </w:tr>
      <w:tr w:rsidR="00662BCA" w:rsidRPr="00C14D05" w:rsidTr="00E83375">
        <w:trPr>
          <w:trHeight w:val="543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Цель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0D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4D05">
              <w:rPr>
                <w:color w:val="000000"/>
              </w:rPr>
              <w:t xml:space="preserve">Повышение качества городской среды </w:t>
            </w:r>
            <w:r w:rsidR="000D0AA2" w:rsidRPr="00C14D05"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color w:val="000000"/>
              </w:rPr>
              <w:t xml:space="preserve"> </w:t>
            </w:r>
          </w:p>
        </w:tc>
      </w:tr>
      <w:tr w:rsidR="00662BCA" w:rsidRPr="00C14D05" w:rsidTr="00E83375">
        <w:trPr>
          <w:trHeight w:val="70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Задачи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1. Увеличение количества благоустроенных дворовых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 </w:t>
            </w:r>
          </w:p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2. Увеличение количества благоустроенных общественных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  <w:p w:rsidR="00662BCA" w:rsidRPr="00C14D05" w:rsidRDefault="00662BCA" w:rsidP="000D0AA2">
            <w:pPr>
              <w:jc w:val="both"/>
              <w:rPr>
                <w:color w:val="000000"/>
                <w:lang w:eastAsia="en-US"/>
              </w:rPr>
            </w:pPr>
            <w:r w:rsidRPr="00C14D05">
              <w:t xml:space="preserve">3.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</w:tc>
      </w:tr>
      <w:tr w:rsidR="00662BCA" w:rsidRPr="00C14D05" w:rsidTr="00E83375">
        <w:trPr>
          <w:trHeight w:val="1408"/>
        </w:trPr>
        <w:tc>
          <w:tcPr>
            <w:tcW w:w="3544" w:type="dxa"/>
          </w:tcPr>
          <w:p w:rsidR="00662BCA" w:rsidRPr="00C14D05" w:rsidRDefault="00662BCA" w:rsidP="00E83375">
            <w:r w:rsidRPr="00C14D05">
              <w:t>Ожидаемые</w:t>
            </w:r>
            <w:r w:rsidR="000D0AA2" w:rsidRPr="00C14D05">
              <w:t xml:space="preserve"> </w:t>
            </w:r>
            <w:r w:rsidRPr="00C14D05">
              <w:t>(конечные) результаты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jc w:val="both"/>
            </w:pPr>
            <w:r w:rsidRPr="00C14D05">
              <w:rPr>
                <w:color w:val="000000"/>
              </w:rPr>
              <w:t xml:space="preserve">-Увеличено количество благоустроенных дворовых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-Увеличено количество благоустроенных общественных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F918FD" w:rsidRPr="00C14D05">
              <w:t>Назиевском</w:t>
            </w:r>
            <w:r w:rsidRPr="00C14D05">
              <w:t xml:space="preserve"> городском поселении.</w:t>
            </w:r>
          </w:p>
        </w:tc>
      </w:tr>
      <w:tr w:rsidR="00662BCA" w:rsidRPr="00C14D05" w:rsidTr="00E83375">
        <w:trPr>
          <w:trHeight w:val="572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Проекты, реализуемые в рамках муниципальной программы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Федеральный проект «Формирование комфортной городской среды» </w:t>
            </w:r>
          </w:p>
        </w:tc>
      </w:tr>
      <w:tr w:rsidR="00662BCA" w:rsidRPr="00C14D05" w:rsidTr="00E83375">
        <w:trPr>
          <w:trHeight w:val="1706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Финансовое обеспечение муниципальной программы-всего, в том числе по годам реализации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О</w:t>
            </w:r>
            <w:r w:rsidR="00F918FD" w:rsidRPr="00C14D05">
              <w:t>бщий объем финансирования в 2023</w:t>
            </w:r>
            <w:r w:rsidRPr="00C14D05">
              <w:t>-202</w:t>
            </w:r>
            <w:r w:rsidR="00F918FD" w:rsidRPr="00C14D05">
              <w:t>5</w:t>
            </w:r>
            <w:r w:rsidRPr="00C14D05">
              <w:t xml:space="preserve"> годах:</w:t>
            </w:r>
          </w:p>
          <w:p w:rsidR="00662BCA" w:rsidRPr="00C14D05" w:rsidRDefault="00F918FD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rPr>
                <w:lang w:eastAsia="ar-SA"/>
              </w:rPr>
              <w:t xml:space="preserve">10 383,89 </w:t>
            </w:r>
            <w:r w:rsidR="00662BCA" w:rsidRPr="00C14D05">
              <w:t>тыс. руб.,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в том числе по годам реализации: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202</w:t>
            </w:r>
            <w:r w:rsidR="005E5686">
              <w:t>3</w:t>
            </w:r>
            <w:r w:rsidRPr="00C14D05">
              <w:t xml:space="preserve"> год – </w:t>
            </w:r>
            <w:r w:rsidR="00F918FD" w:rsidRPr="00C14D05">
              <w:rPr>
                <w:lang w:eastAsia="ar-SA"/>
              </w:rPr>
              <w:t xml:space="preserve">10 383,89 </w:t>
            </w:r>
            <w:r w:rsidRPr="00C14D05">
              <w:t xml:space="preserve">тыс. руб.,  </w:t>
            </w:r>
          </w:p>
          <w:p w:rsidR="00662BCA" w:rsidRPr="00C14D05" w:rsidRDefault="005E5686" w:rsidP="00E8337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662BCA" w:rsidRPr="00C14D05">
              <w:t xml:space="preserve"> год – </w:t>
            </w:r>
            <w:r w:rsidR="00F918FD" w:rsidRPr="00C14D05">
              <w:t>0,00</w:t>
            </w:r>
            <w:r w:rsidR="00662BCA" w:rsidRPr="00C14D05">
              <w:t xml:space="preserve"> тыс. руб.,  </w:t>
            </w:r>
          </w:p>
          <w:p w:rsidR="00662BCA" w:rsidRPr="00C14D05" w:rsidRDefault="005E5686" w:rsidP="00F918FD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="00662BCA" w:rsidRPr="00C14D05">
              <w:t xml:space="preserve"> год – </w:t>
            </w:r>
            <w:r w:rsidR="00F918FD" w:rsidRPr="00C14D05">
              <w:t>0,00</w:t>
            </w:r>
            <w:r w:rsidR="00662BCA" w:rsidRPr="00C14D05">
              <w:t xml:space="preserve"> тыс. руб.</w:t>
            </w:r>
          </w:p>
        </w:tc>
      </w:tr>
    </w:tbl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  <w:bCs/>
              </w:rPr>
            </w:pPr>
            <w:r w:rsidRPr="00C14D05">
              <w:rPr>
                <w:b/>
                <w:bCs/>
              </w:rPr>
              <w:t>1.</w:t>
            </w:r>
            <w:r w:rsidRPr="00C14D05">
              <w:rPr>
                <w:b/>
                <w:bCs/>
              </w:rPr>
              <w:tab/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Одним из основных стратегических направлений деятельности администрации муниципального образования Назиевское городское поселение</w:t>
            </w:r>
            <w:r w:rsidR="005B3D8D" w:rsidRPr="00C14D05">
              <w:rPr>
                <w:bCs/>
              </w:rPr>
              <w:t xml:space="preserve">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является обеспечение устойчивого развития территории муниципального образования, которое предполагает совершенствование городской среды,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Под благоустройством территории понимается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Территория </w:t>
            </w:r>
            <w:r w:rsidR="005B3D8D" w:rsidRPr="00C14D05">
              <w:rPr>
                <w:bCs/>
              </w:rPr>
              <w:t>Назиевскоего</w:t>
            </w:r>
            <w:r w:rsidRPr="00C14D05">
              <w:rPr>
                <w:bCs/>
              </w:rPr>
              <w:t xml:space="preserve"> городского поселения составляет </w:t>
            </w:r>
            <w:r w:rsidR="00033072" w:rsidRPr="00C14D05">
              <w:rPr>
                <w:bCs/>
              </w:rPr>
              <w:t>52051,6</w:t>
            </w:r>
            <w:r w:rsidRPr="00C14D05">
              <w:rPr>
                <w:bCs/>
              </w:rPr>
              <w:t xml:space="preserve"> Га, численность населения по состоянию на 01.</w:t>
            </w:r>
            <w:r w:rsidR="005B3D8D" w:rsidRPr="00C14D05">
              <w:rPr>
                <w:bCs/>
              </w:rPr>
              <w:t>01</w:t>
            </w:r>
            <w:r w:rsidRPr="00C14D05">
              <w:rPr>
                <w:bCs/>
              </w:rPr>
              <w:t>.202</w:t>
            </w:r>
            <w:r w:rsidR="005B3D8D" w:rsidRPr="00C14D05">
              <w:rPr>
                <w:bCs/>
              </w:rPr>
              <w:t>2</w:t>
            </w:r>
            <w:r w:rsidRPr="00C14D05">
              <w:rPr>
                <w:bCs/>
              </w:rPr>
              <w:t xml:space="preserve"> –</w:t>
            </w:r>
            <w:r w:rsidR="005B3D8D" w:rsidRPr="00C14D05">
              <w:rPr>
                <w:bCs/>
              </w:rPr>
              <w:t xml:space="preserve"> 4 669</w:t>
            </w:r>
            <w:r w:rsidRPr="00C14D05">
              <w:rPr>
                <w:bCs/>
              </w:rPr>
              <w:t xml:space="preserve"> человек.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Важнейшей задачей органов местного самоуправления </w:t>
            </w:r>
            <w:r w:rsidR="00033072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Для нормального функционирования </w:t>
            </w:r>
            <w:r w:rsidR="00033072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большое значение имеет инженерное благоустройство дворовых территорий многоквартирных домов.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</w:t>
            </w:r>
            <w:r w:rsidR="00033072" w:rsidRPr="00C14D05">
              <w:rPr>
                <w:bCs/>
              </w:rPr>
              <w:t xml:space="preserve">, </w:t>
            </w:r>
            <w:r w:rsidRPr="00C14D05">
              <w:rPr>
                <w:bCs/>
              </w:rPr>
              <w:t>дорожное покрытие разрушено, утрачен внешний облик газонов.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</w:t>
            </w:r>
            <w:r w:rsidR="00033072" w:rsidRPr="00C14D05">
              <w:rPr>
                <w:bCs/>
              </w:rPr>
              <w:t xml:space="preserve"> часто</w:t>
            </w:r>
            <w:r w:rsidRPr="00C14D05">
              <w:rPr>
                <w:bCs/>
              </w:rPr>
              <w:t xml:space="preserve"> превращаются в автостоянки.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Дворовые территории многоквартирных домов и проезды к дворовым территориям являются важнейшей составной частью транспортной системы.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От уровня транспортно-эксплуатационного состояния дворовых территорий и проездов во многом зависит качество жизни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Без благоустройства дворов благоустройство </w:t>
            </w:r>
            <w:r w:rsidR="00033072" w:rsidRPr="00C14D05">
              <w:rPr>
                <w:bCs/>
              </w:rPr>
              <w:t>населенного пункта</w:t>
            </w:r>
            <w:r w:rsidRPr="00C14D05">
              <w:rPr>
                <w:bCs/>
              </w:rPr>
              <w:t xml:space="preserve"> не может носить комплексный характер и эффективно влиять на пов</w:t>
            </w:r>
            <w:r w:rsidR="00033072" w:rsidRPr="00C14D05">
              <w:rPr>
                <w:bCs/>
              </w:rPr>
              <w:t xml:space="preserve">ышение качества жизни населения, </w:t>
            </w:r>
            <w:r w:rsidR="00033072" w:rsidRPr="00C14D05">
              <w:rPr>
                <w:bCs/>
              </w:rPr>
              <w:lastRenderedPageBreak/>
              <w:t>п</w:t>
            </w:r>
            <w:r w:rsidRPr="00C14D05">
              <w:rPr>
                <w:bCs/>
              </w:rPr>
              <w:t>оэтому необходимо продолжать целенаправленную работу по благоустройству дворовых территорий.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      </w:r>
            <w:r w:rsidR="00315575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муниципального образования.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Применение программного-целевого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реализацию механизма поддержки мероприятий по благоустройству инициированными гражданами;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 xml:space="preserve">сформирует инструменты общественного контроля за реализацией мероприятий по благоустройству на территории </w:t>
            </w:r>
            <w:r w:rsidR="00315575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Риски, оказывающие влияние на решение поставленных в муниципальной программе задач: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неэффективность организации и управления процессом реализации положений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использование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 необоснованное перераспределение средств в ходе исполнения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недостаток денежных средств бюджета</w:t>
            </w:r>
            <w:r w:rsidR="00315575" w:rsidRPr="00C14D05">
              <w:rPr>
                <w:bCs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на реализацию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отсутствие или недостаточность межведомственной координации в ходе реализации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Управление рисками муниципальной программы будет осуществляться на основе: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разработки и внедрения эффективной системы контроля реализации муниципальной программы, а также эффективного использования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lastRenderedPageBreak/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проведения регулярной оценки результативности и эффективности реализации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      </w:r>
          </w:p>
          <w:p w:rsidR="00F918FD" w:rsidRPr="00C14D05" w:rsidRDefault="00F918FD" w:rsidP="00E83375">
            <w:pPr>
              <w:jc w:val="both"/>
              <w:rPr>
                <w:b/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/>
              </w:rPr>
              <w:lastRenderedPageBreak/>
              <w:t>2. Приоритеты и цели муниципальной политики в сфере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D7C48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Приоритеты государственной (муниципальной) политики в сфере реализации муниципальной программы сформированы с учетом положений федеральных, региональных и муниципальных документов стратегического планирования</w:t>
            </w:r>
            <w:r w:rsidR="00ED7C48" w:rsidRPr="00C14D05">
              <w:rPr>
                <w:bCs/>
              </w:rPr>
              <w:t>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Основной целью муниципальной программы «</w:t>
            </w:r>
            <w:r w:rsidR="00ED7C48" w:rsidRPr="00C14D05">
              <w:rPr>
                <w:color w:val="000000"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      </w:r>
            <w:r w:rsidRPr="00C14D05">
              <w:rPr>
                <w:bCs/>
              </w:rPr>
              <w:t xml:space="preserve"> является повышение качества городской среды на территории муниципального образования </w:t>
            </w:r>
            <w:r w:rsidR="00ED7C48" w:rsidRPr="00C14D05">
              <w:rPr>
                <w:bCs/>
              </w:rPr>
              <w:t>Назиевское</w:t>
            </w:r>
            <w:r w:rsidRPr="00C14D05">
              <w:rPr>
                <w:bCs/>
              </w:rPr>
              <w:t xml:space="preserve"> городское поселение </w:t>
            </w:r>
            <w:r w:rsidR="00ED7C48" w:rsidRPr="00C14D05">
              <w:rPr>
                <w:bCs/>
              </w:rPr>
              <w:t>Кировского</w:t>
            </w:r>
            <w:r w:rsidRPr="00C14D05">
              <w:rPr>
                <w:bCs/>
              </w:rPr>
              <w:t xml:space="preserve"> муниципального района Ленинградской области.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Таким образом</w:t>
            </w:r>
            <w:r w:rsidR="00ED7C48" w:rsidRPr="00C14D05">
              <w:rPr>
                <w:bCs/>
              </w:rPr>
              <w:t>,</w:t>
            </w:r>
            <w:r w:rsidRPr="00C14D05">
              <w:rPr>
                <w:bCs/>
              </w:rPr>
              <w:t xml:space="preserve"> цели, задачи и направления реализации муниципальной программы в полной мере соответствуют приоритетам и целям государственной политики.</w:t>
            </w:r>
          </w:p>
        </w:tc>
      </w:tr>
      <w:tr w:rsidR="00F918FD" w:rsidRPr="00C14D05" w:rsidTr="00E83375"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</w:rPr>
            </w:pPr>
            <w:r w:rsidRPr="00C14D05">
              <w:rPr>
                <w:b/>
              </w:rPr>
              <w:t>3.</w:t>
            </w:r>
            <w:r w:rsidRPr="00C14D05">
              <w:rPr>
                <w:b/>
              </w:rPr>
              <w:tab/>
              <w:t>Информация о проектах и комплексах процессных мероприятиях</w:t>
            </w:r>
          </w:p>
        </w:tc>
      </w:tr>
      <w:tr w:rsidR="00F918FD" w:rsidRPr="00770BCB" w:rsidTr="00E83375">
        <w:trPr>
          <w:trHeight w:val="3549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 рамках муниципальной программы реализуются мероприятия, направленные на достижение цели федерального проекта «Формирование комфортной городской среды».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Решение задачи муниципальной программы по повышению количества благоустроенных территорий обеспечивается в рамках следующих структурных элементов проектной части программы: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Реализация программ формирования современной городской среды.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Процессная часть включает в себя комплекс процессных мероприятий «Благоустройство общественных и дворовых территорий»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Комплекс процессных мероприятий муниципальной программы включает в себя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1.</w:t>
            </w:r>
            <w:r w:rsidRPr="00C14D05">
              <w:rPr>
                <w:bCs/>
              </w:rPr>
              <w:tab/>
              <w:t>Прочие мероприятия по благоустройству общественных территорий;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2.</w:t>
            </w:r>
            <w:r w:rsidRPr="00C14D05">
              <w:rPr>
                <w:bCs/>
              </w:rPr>
              <w:tab/>
              <w:t>Прочие мероприятия по благоустройству дворовых территорий.</w:t>
            </w:r>
          </w:p>
        </w:tc>
      </w:tr>
    </w:tbl>
    <w:p w:rsidR="00A33134" w:rsidRDefault="00A33134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  <w:sectPr w:rsidR="00181E8D" w:rsidSect="00C14D05">
          <w:pgSz w:w="11906" w:h="16838"/>
          <w:pgMar w:top="720" w:right="849" w:bottom="720" w:left="1276" w:header="708" w:footer="708" w:gutter="0"/>
          <w:cols w:space="708"/>
          <w:docGrid w:linePitch="360"/>
        </w:sect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770BCB">
        <w:rPr>
          <w:bCs/>
          <w:sz w:val="28"/>
          <w:szCs w:val="28"/>
          <w:lang w:eastAsia="ar-SA"/>
        </w:rPr>
        <w:t>Таблица 1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770BCB">
        <w:rPr>
          <w:b/>
          <w:bCs/>
          <w:sz w:val="28"/>
          <w:szCs w:val="28"/>
          <w:lang w:eastAsia="ar-SA"/>
        </w:rPr>
        <w:t>Сведения о показателях (индикаторах) муниципальной программы и их значениях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tbl>
      <w:tblPr>
        <w:tblW w:w="1482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7"/>
        <w:gridCol w:w="1453"/>
        <w:gridCol w:w="1080"/>
        <w:gridCol w:w="1620"/>
        <w:gridCol w:w="1260"/>
        <w:gridCol w:w="1260"/>
        <w:gridCol w:w="1260"/>
        <w:gridCol w:w="1440"/>
      </w:tblGrid>
      <w:tr w:rsidR="00181E8D" w:rsidRPr="00770BCB" w:rsidTr="00E8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№ п/п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lang w:eastAsia="ar-SA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Ед. изм.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Значения показателей (индикаторов)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Удельный вес показателя</w:t>
            </w:r>
          </w:p>
        </w:tc>
      </w:tr>
      <w:tr w:rsidR="00181E8D" w:rsidRPr="00770BCB" w:rsidTr="00E83375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Базовый</w:t>
            </w:r>
          </w:p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период</w:t>
            </w:r>
          </w:p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(202</w:t>
            </w:r>
            <w:r w:rsidR="00C14D05">
              <w:rPr>
                <w:bCs/>
                <w:lang w:eastAsia="ar-SA"/>
              </w:rPr>
              <w:t>2</w:t>
            </w:r>
            <w:r w:rsidRPr="00770BCB">
              <w:rPr>
                <w:bCs/>
                <w:lang w:eastAsia="ar-SA"/>
              </w:rPr>
              <w:t xml:space="preserve">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2023</w:t>
            </w:r>
            <w:r w:rsidR="00181E8D"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4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5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8</w:t>
            </w:r>
          </w:p>
        </w:tc>
      </w:tr>
      <w:tr w:rsidR="00181E8D" w:rsidRPr="00770BCB" w:rsidTr="00E8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bookmarkStart w:id="1" w:name="_Hlk93498226"/>
            <w:r w:rsidRPr="00310495">
              <w:rPr>
                <w:bCs/>
                <w:lang w:eastAsia="ar-SA"/>
              </w:rPr>
              <w:t xml:space="preserve">Муниципальная программа «Формирование комфортной городской среды </w:t>
            </w:r>
            <w:r w:rsidR="00C14D05" w:rsidRPr="00C14D05">
              <w:rPr>
                <w:color w:val="000000"/>
              </w:rPr>
              <w:t>муниципального образования Назиевское городское поселение Кировского муниципального района Ленинградской области на 2023-2025 год</w:t>
            </w:r>
            <w:bookmarkEnd w:id="1"/>
            <w:r w:rsidR="00C14D05">
              <w:rPr>
                <w:color w:val="000000"/>
              </w:rPr>
              <w:t>»</w:t>
            </w:r>
          </w:p>
        </w:tc>
      </w:tr>
      <w:tr w:rsidR="00181E8D" w:rsidRPr="00770BCB" w:rsidTr="00E83375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C14D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1E8D" w:rsidRPr="00310495">
              <w:rPr>
                <w:lang w:eastAsia="ar-SA"/>
              </w:rPr>
              <w:t>,</w:t>
            </w:r>
            <w:r>
              <w:rPr>
                <w:lang w:eastAsia="ar-SA"/>
              </w:rPr>
              <w:t>00</w:t>
            </w:r>
          </w:p>
        </w:tc>
      </w:tr>
      <w:tr w:rsidR="00181E8D" w:rsidRPr="00770BCB" w:rsidTr="00E83375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2.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Количество благоустроенных дворовых территорий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Плановые значения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E833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  <w:r w:rsidR="00181E8D" w:rsidRPr="0031049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3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C14D0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C14D05">
              <w:rPr>
                <w:color w:val="000000"/>
                <w:lang w:eastAsia="ar-SA"/>
              </w:rPr>
              <w:t xml:space="preserve">Назиевском </w:t>
            </w:r>
            <w:r w:rsidRPr="00770BCB">
              <w:rPr>
                <w:color w:val="000000"/>
                <w:lang w:eastAsia="ar-SA"/>
              </w:rPr>
              <w:t>городском поселении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C14D05">
            <w:pPr>
              <w:jc w:val="center"/>
              <w:rPr>
                <w:lang w:eastAsia="ar-SA"/>
              </w:rPr>
            </w:pPr>
            <w:r w:rsidRPr="00310495">
              <w:rPr>
                <w:lang w:eastAsia="ar-SA"/>
              </w:rPr>
              <w:t>0,0</w:t>
            </w:r>
            <w:r w:rsidR="00C14D0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81E8D" w:rsidRPr="00770BCB" w:rsidRDefault="00181E8D" w:rsidP="00181E8D">
      <w:pPr>
        <w:tabs>
          <w:tab w:val="left" w:pos="1315"/>
        </w:tabs>
        <w:rPr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C14D05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C14D05">
        <w:rPr>
          <w:bCs/>
          <w:sz w:val="28"/>
          <w:szCs w:val="28"/>
          <w:lang w:eastAsia="ar-SA"/>
        </w:rPr>
        <w:lastRenderedPageBreak/>
        <w:t>Таблица 2</w:t>
      </w:r>
    </w:p>
    <w:p w:rsidR="00181E8D" w:rsidRPr="00C14D05" w:rsidRDefault="00181E8D" w:rsidP="00181E8D">
      <w:pPr>
        <w:widowControl w:val="0"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514"/>
        <w:gridCol w:w="1134"/>
        <w:gridCol w:w="1843"/>
        <w:gridCol w:w="3544"/>
        <w:gridCol w:w="1984"/>
        <w:gridCol w:w="2552"/>
        <w:gridCol w:w="1299"/>
      </w:tblGrid>
      <w:tr w:rsidR="00181E8D" w:rsidRPr="00C14D05" w:rsidTr="00AC6E21">
        <w:trPr>
          <w:trHeight w:val="109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bookmarkStart w:id="2" w:name="Par558"/>
            <w:bookmarkEnd w:id="2"/>
            <w:r w:rsidRPr="00C14D05">
              <w:rPr>
                <w:lang w:eastAsia="ar-SA"/>
              </w:rPr>
              <w:t>N п/п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Единица измерения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Временная характеристика 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Алгоритм формирования и методологические пояснения к показателю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Срок предоставления отчетности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Ответственный за сбор данных по показателю 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Реквизиты акта </w:t>
            </w:r>
          </w:p>
        </w:tc>
      </w:tr>
      <w:tr w:rsidR="00181E8D" w:rsidRPr="00C14D05" w:rsidTr="00AC6E21">
        <w:trPr>
          <w:trHeight w:val="272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7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8</w:t>
            </w:r>
          </w:p>
        </w:tc>
      </w:tr>
      <w:tr w:rsidR="00181E8D" w:rsidRPr="00C14D05" w:rsidTr="00AC6E21">
        <w:trPr>
          <w:trHeight w:val="1559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ед. 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bCs/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Показатель равен количеству благоустроенных общественных территорий.</w:t>
            </w:r>
          </w:p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 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E83375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148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равен количеству благоустроенных дворовых территорий.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314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%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:rsidR="00181E8D" w:rsidRPr="00C14D05" w:rsidRDefault="00181E8D" w:rsidP="00AC6E21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</w:t>
            </w:r>
            <w:r w:rsidR="00AC6E21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 умноженное на 100%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 итогам отчетного года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20 января года, следующего за отчетным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областим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spacing w:after="1" w:line="240" w:lineRule="atLeast"/>
              <w:jc w:val="center"/>
              <w:rPr>
                <w:lang w:eastAsia="ar-SA"/>
              </w:rPr>
            </w:pPr>
          </w:p>
        </w:tc>
      </w:tr>
    </w:tbl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bookmarkStart w:id="3" w:name="_Hlk93499680"/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t>Таблица 3</w:t>
      </w:r>
      <w:bookmarkEnd w:id="3"/>
      <w:r w:rsidRPr="00C14D05">
        <w:rPr>
          <w:color w:val="000000"/>
          <w:sz w:val="28"/>
          <w:szCs w:val="28"/>
          <w:lang w:eastAsia="ar-SA"/>
        </w:rPr>
        <w:t xml:space="preserve"> </w:t>
      </w:r>
    </w:p>
    <w:p w:rsidR="00181E8D" w:rsidRPr="00C14D05" w:rsidRDefault="00181E8D" w:rsidP="00181E8D">
      <w:pPr>
        <w:jc w:val="both"/>
        <w:rPr>
          <w:color w:val="000000"/>
          <w:sz w:val="28"/>
          <w:szCs w:val="28"/>
          <w:lang w:eastAsia="ar-SA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4" w:name="_Hlk97379946"/>
      <w:r w:rsidRPr="00C14D05">
        <w:rPr>
          <w:b/>
          <w:bCs/>
          <w:color w:val="000000"/>
          <w:sz w:val="28"/>
          <w:szCs w:val="28"/>
          <w:lang w:eastAsia="ar-SA"/>
        </w:rPr>
        <w:t xml:space="preserve">План реализации муниципальной программы </w:t>
      </w:r>
    </w:p>
    <w:bookmarkEnd w:id="4"/>
    <w:p w:rsidR="00E83375" w:rsidRPr="00C14D05" w:rsidRDefault="00E83375" w:rsidP="00E83375">
      <w:pPr>
        <w:jc w:val="center"/>
        <w:rPr>
          <w:color w:val="000000"/>
          <w:sz w:val="28"/>
          <w:szCs w:val="28"/>
          <w:lang w:eastAsia="ar-SA"/>
        </w:rPr>
      </w:pPr>
    </w:p>
    <w:tbl>
      <w:tblPr>
        <w:tblW w:w="5262" w:type="pct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3723"/>
        <w:gridCol w:w="2308"/>
        <w:gridCol w:w="1013"/>
        <w:gridCol w:w="1725"/>
        <w:gridCol w:w="1587"/>
        <w:gridCol w:w="1728"/>
        <w:gridCol w:w="866"/>
        <w:gridCol w:w="1731"/>
        <w:gridCol w:w="1000"/>
      </w:tblGrid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Ответственный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исполнитель,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соисполнители,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участники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Годы</w:t>
            </w:r>
          </w:p>
          <w:p w:rsidR="00E83375" w:rsidRPr="00C14D05" w:rsidRDefault="00E83375" w:rsidP="00E83375">
            <w:pPr>
              <w:jc w:val="center"/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реализации</w:t>
            </w:r>
          </w:p>
        </w:tc>
        <w:tc>
          <w:tcPr>
            <w:tcW w:w="2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Оценка расходов (тыс. руб., в ценах соответствующих лет)</w:t>
            </w:r>
          </w:p>
        </w:tc>
      </w:tr>
      <w:tr w:rsidR="00E83375" w:rsidRPr="00C14D05" w:rsidTr="00E83375">
        <w:trPr>
          <w:cantSplit/>
          <w:trHeight w:val="143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Всего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Областной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Бюджет     БМР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Местный бюдже</w:t>
            </w:r>
            <w:r w:rsidRPr="00C14D05">
              <w:rPr>
                <w:rFonts w:ascii="Arial" w:hAnsi="Arial" w:cs="Arial"/>
                <w:bCs/>
                <w:color w:val="000000"/>
                <w:lang w:eastAsia="ar-SA"/>
              </w:rPr>
              <w:t>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Прочие источники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9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ar-SA"/>
              </w:rPr>
            </w:pP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52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b/>
                <w:lang w:eastAsia="ar-SA"/>
              </w:rPr>
              <w:t>Проектная часть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Федеральные проекты, входящие в состав национальных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Реализация программ формирования современной городской среды</w:t>
            </w:r>
            <w:r w:rsidRPr="00C14D05">
              <w:rPr>
                <w:rStyle w:val="af2"/>
                <w:bCs/>
                <w:color w:val="000000"/>
                <w:lang w:eastAsia="ar-SA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2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lastRenderedPageBreak/>
              <w:t>Мероприятия, направленные на достижение цели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 xml:space="preserve">Благоустройство общественных территорий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Процессная часть</w:t>
            </w:r>
          </w:p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  <w:r w:rsidRPr="00C14D05">
              <w:rPr>
                <w:b/>
                <w:bCs/>
                <w:iCs/>
                <w:color w:val="000000"/>
                <w:lang w:eastAsia="ar-SA"/>
              </w:rPr>
              <w:t xml:space="preserve">Комплекс процессных мероприятий «Благоустройство общественных территорий» </w:t>
            </w:r>
          </w:p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58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vertAlign w:val="superscript"/>
                <w:lang w:eastAsia="ar-SA"/>
              </w:rPr>
            </w:pPr>
            <w:r w:rsidRPr="00C14D05">
              <w:rPr>
                <w:lang w:eastAsia="ar-SA"/>
              </w:rPr>
              <w:t>Прочие мероприятия по благоустройству общественных территорий</w:t>
            </w:r>
            <w:r w:rsidRPr="00C14D05"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bookmarkStart w:id="5" w:name="_Hlk93496553"/>
            <w:r w:rsidRPr="00C14D05">
              <w:rPr>
                <w:bCs/>
                <w:color w:val="000000"/>
                <w:lang w:eastAsia="ar-SA"/>
              </w:rPr>
              <w:t>Прочие мероприятия по благоустройству дворовых территорий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bookmarkEnd w:id="5"/>
    </w:tbl>
    <w:p w:rsidR="00E83375" w:rsidRPr="00C14D05" w:rsidRDefault="00E83375" w:rsidP="00181E8D">
      <w:pPr>
        <w:widowControl w:val="0"/>
        <w:autoSpaceDE w:val="0"/>
        <w:autoSpaceDN w:val="0"/>
        <w:adjustRightInd w:val="0"/>
        <w:outlineLvl w:val="2"/>
        <w:rPr>
          <w:b/>
          <w:lang w:eastAsia="ar-SA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  <w:r w:rsidRPr="00C14D05">
        <w:rPr>
          <w:sz w:val="28"/>
          <w:szCs w:val="28"/>
        </w:rPr>
        <w:lastRenderedPageBreak/>
        <w:t>Таблица 3.1</w:t>
      </w:r>
    </w:p>
    <w:p w:rsidR="00181E8D" w:rsidRPr="00C14D05" w:rsidRDefault="00181E8D" w:rsidP="00181E8D">
      <w:pPr>
        <w:jc w:val="center"/>
        <w:rPr>
          <w:bCs/>
          <w:color w:val="000000"/>
          <w:sz w:val="28"/>
          <w:szCs w:val="28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АДРЕСНЫЙ ПЕРЕЧЕНЬ</w:t>
      </w:r>
    </w:p>
    <w:p w:rsidR="00E83375" w:rsidRPr="00C14D05" w:rsidRDefault="00E83375" w:rsidP="00E8337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 xml:space="preserve">общественных территорий, расположенных на территории </w:t>
      </w:r>
      <w:r w:rsidRPr="00C14D05">
        <w:rPr>
          <w:b/>
          <w:sz w:val="28"/>
          <w:szCs w:val="28"/>
        </w:rPr>
        <w:t>МО Назиевское городское поселение,</w:t>
      </w: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подлежащих благоустройству</w:t>
      </w:r>
    </w:p>
    <w:p w:rsidR="00E83375" w:rsidRPr="00C14D05" w:rsidRDefault="00E83375" w:rsidP="00E83375">
      <w:pPr>
        <w:jc w:val="center"/>
        <w:rPr>
          <w:bCs/>
          <w:color w:val="000000"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64"/>
        <w:gridCol w:w="2651"/>
        <w:gridCol w:w="1276"/>
        <w:gridCol w:w="136"/>
        <w:gridCol w:w="1140"/>
        <w:gridCol w:w="1700"/>
        <w:gridCol w:w="1753"/>
        <w:gridCol w:w="1653"/>
        <w:gridCol w:w="1559"/>
        <w:gridCol w:w="1329"/>
      </w:tblGrid>
      <w:tr w:rsidR="00E83375" w:rsidRPr="00C14D05" w:rsidTr="00E83375">
        <w:tc>
          <w:tcPr>
            <w:tcW w:w="593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№ п/п</w:t>
            </w:r>
          </w:p>
        </w:tc>
        <w:tc>
          <w:tcPr>
            <w:tcW w:w="1964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Наименование мероприятия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Адрес (месторасположение)</w:t>
            </w:r>
          </w:p>
        </w:tc>
        <w:tc>
          <w:tcPr>
            <w:tcW w:w="1276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Перечень работ</w:t>
            </w:r>
          </w:p>
        </w:tc>
        <w:tc>
          <w:tcPr>
            <w:tcW w:w="1276" w:type="dxa"/>
            <w:gridSpan w:val="2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Объем в натуральных показателях, ед.изм</w:t>
            </w:r>
          </w:p>
        </w:tc>
        <w:tc>
          <w:tcPr>
            <w:tcW w:w="7994" w:type="dxa"/>
            <w:gridSpan w:val="5"/>
          </w:tcPr>
          <w:p w:rsidR="00E83375" w:rsidRPr="00C14D05" w:rsidRDefault="00E83375" w:rsidP="00E83375">
            <w:pPr>
              <w:jc w:val="center"/>
              <w:rPr>
                <w:color w:val="000000"/>
              </w:rPr>
            </w:pPr>
            <w:r w:rsidRPr="00C14D05">
              <w:rPr>
                <w:color w:val="000000"/>
              </w:rPr>
              <w:t>Объем средств,</w:t>
            </w:r>
          </w:p>
          <w:p w:rsidR="00E83375" w:rsidRPr="00C14D05" w:rsidRDefault="00E83375" w:rsidP="00E83375">
            <w:pPr>
              <w:jc w:val="center"/>
            </w:pPr>
            <w:r w:rsidRPr="00C14D05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E83375" w:rsidRPr="00C14D05" w:rsidTr="00E83375">
        <w:tc>
          <w:tcPr>
            <w:tcW w:w="593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964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Всего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Федеральный бюджет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Областной бюджет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Местный бюджет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Прочие источники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276" w:type="dxa"/>
          </w:tcPr>
          <w:p w:rsidR="00E83375" w:rsidRPr="00C14D05" w:rsidRDefault="00E83375" w:rsidP="00E83375">
            <w:r w:rsidRPr="00C14D05">
              <w:t>4</w:t>
            </w:r>
          </w:p>
        </w:tc>
        <w:tc>
          <w:tcPr>
            <w:tcW w:w="1276" w:type="dxa"/>
            <w:gridSpan w:val="2"/>
          </w:tcPr>
          <w:p w:rsidR="00E83375" w:rsidRPr="00C14D05" w:rsidRDefault="00E83375" w:rsidP="00E83375">
            <w:pPr>
              <w:jc w:val="center"/>
            </w:pPr>
            <w:r w:rsidRPr="00C14D05">
              <w:t>5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6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7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8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9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10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/>
          <w:p w:rsidR="00E83375" w:rsidRPr="00C14D05" w:rsidRDefault="00E83375" w:rsidP="00E83375">
            <w:r w:rsidRPr="00C14D05">
              <w:t>Муниципальная программа «</w:t>
            </w: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2023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</w:t>
            </w:r>
          </w:p>
          <w:p w:rsidR="00E83375" w:rsidRPr="00C14D05" w:rsidRDefault="00E83375" w:rsidP="00E83375">
            <w:pPr>
              <w:jc w:val="center"/>
            </w:pPr>
            <w:r w:rsidRPr="00C14D05">
              <w:t>общественной территории            1 этап</w:t>
            </w:r>
          </w:p>
        </w:tc>
        <w:tc>
          <w:tcPr>
            <w:tcW w:w="2651" w:type="dxa"/>
          </w:tcPr>
          <w:p w:rsidR="00E83375" w:rsidRPr="00C14D05" w:rsidRDefault="00E83375" w:rsidP="004B66F1">
            <w:pPr>
              <w:jc w:val="center"/>
            </w:pPr>
            <w:r w:rsidRPr="00C14D05">
              <w:rPr>
                <w:sz w:val="20"/>
                <w:szCs w:val="20"/>
              </w:rPr>
              <w:t>Ленинградская обл., Кировский р-н., г.п. Назия,</w:t>
            </w:r>
            <w:r w:rsidR="004B66F1">
              <w:rPr>
                <w:sz w:val="20"/>
                <w:szCs w:val="20"/>
              </w:rPr>
              <w:t xml:space="preserve"> сквер между улицами: Октябрьская, Артеменко и  Школьный</w:t>
            </w:r>
            <w:r w:rsidRPr="00C14D05">
              <w:rPr>
                <w:sz w:val="20"/>
                <w:szCs w:val="20"/>
              </w:rPr>
              <w:t xml:space="preserve"> пр.</w:t>
            </w:r>
          </w:p>
        </w:tc>
        <w:tc>
          <w:tcPr>
            <w:tcW w:w="1412" w:type="dxa"/>
            <w:gridSpan w:val="2"/>
          </w:tcPr>
          <w:p w:rsidR="00E83375" w:rsidRPr="00B87874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10 389,89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2 934,49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6 411,01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1 038,39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2024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Определяется по итогам рейтингового голосования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2025год</w:t>
            </w:r>
          </w:p>
        </w:tc>
      </w:tr>
      <w:tr w:rsidR="00E83375" w:rsidRPr="00C14D05" w:rsidTr="00E83375">
        <w:trPr>
          <w:trHeight w:val="831"/>
        </w:trPr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Определяется по итогам рейтингового голосования 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</w:tbl>
    <w:p w:rsidR="00E83375" w:rsidRPr="00C14D05" w:rsidRDefault="00E83375" w:rsidP="00E833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E8D" w:rsidRPr="00C14D05" w:rsidRDefault="00181E8D" w:rsidP="00181E8D">
      <w:pPr>
        <w:ind w:firstLine="709"/>
        <w:jc w:val="both"/>
      </w:pPr>
    </w:p>
    <w:p w:rsidR="00181E8D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P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lastRenderedPageBreak/>
        <w:t>Таблица №4</w:t>
      </w: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</w:p>
    <w:p w:rsidR="00181E8D" w:rsidRPr="00C14D05" w:rsidRDefault="00181E8D" w:rsidP="00181E8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181E8D" w:rsidRPr="00C14D05" w:rsidRDefault="00181E8D" w:rsidP="00181E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W w:w="149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7"/>
        <w:gridCol w:w="2727"/>
        <w:gridCol w:w="3393"/>
        <w:gridCol w:w="3122"/>
        <w:gridCol w:w="2977"/>
      </w:tblGrid>
      <w:tr w:rsidR="00181E8D" w:rsidRPr="00C14D05" w:rsidTr="00E83375">
        <w:trPr>
          <w:trHeight w:val="56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Цель муниципальной программы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Ожидаемый результат муниципальной программы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муниципальной программы</w:t>
            </w:r>
          </w:p>
        </w:tc>
      </w:tr>
      <w:tr w:rsidR="00181E8D" w:rsidRPr="00C14D05" w:rsidTr="00E83375">
        <w:trPr>
          <w:trHeight w:val="23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</w:tr>
      <w:tr w:rsidR="00181E8D" w:rsidRPr="00C14D05" w:rsidTr="00E83375">
        <w:trPr>
          <w:trHeight w:val="12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Повышение качества городской среды на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дворовых территорий </w:t>
            </w:r>
            <w:r w:rsidR="00BA764C" w:rsidRPr="00C14D05">
              <w:rPr>
                <w:lang w:eastAsia="ar-SA"/>
              </w:rPr>
              <w:t xml:space="preserve">Назиевского </w:t>
            </w:r>
            <w:r w:rsidRPr="00C14D05">
              <w:rPr>
                <w:lang w:eastAsia="ar-SA"/>
              </w:rPr>
              <w:t xml:space="preserve">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дворовых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Количество благоустроенных дворовых территорий</w:t>
            </w:r>
          </w:p>
        </w:tc>
      </w:tr>
      <w:tr w:rsidR="00181E8D" w:rsidRPr="00C14D05" w:rsidTr="00E83375">
        <w:trPr>
          <w:trHeight w:val="1152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C14D05" w:rsidTr="00E83375">
        <w:trPr>
          <w:trHeight w:val="1265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общественных территорий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</w:t>
            </w:r>
            <w:r w:rsidR="00BA764C" w:rsidRPr="00C14D05">
              <w:rPr>
                <w:lang w:eastAsia="ar-SA"/>
              </w:rPr>
              <w:t>о</w:t>
            </w:r>
            <w:r w:rsidRPr="00C14D05">
              <w:rPr>
                <w:lang w:eastAsia="ar-SA"/>
              </w:rPr>
              <w:t xml:space="preserve">бщественных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Количество благоустроенных общественных территорий </w:t>
            </w:r>
          </w:p>
        </w:tc>
      </w:tr>
      <w:tr w:rsidR="00181E8D" w:rsidRPr="00C14D05" w:rsidTr="00E83375">
        <w:trPr>
          <w:trHeight w:val="168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310495" w:rsidTr="00BA764C">
        <w:trPr>
          <w:trHeight w:val="3000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</w:t>
            </w:r>
            <w:r w:rsidR="00BA764C" w:rsidRPr="00C14D05">
              <w:rPr>
                <w:lang w:eastAsia="ar-SA"/>
              </w:rPr>
              <w:t>с</w:t>
            </w:r>
            <w:r w:rsidRPr="00C14D05">
              <w:rPr>
                <w:lang w:eastAsia="ar-SA"/>
              </w:rPr>
              <w:t>ком поселении</w:t>
            </w:r>
          </w:p>
        </w:tc>
      </w:tr>
    </w:tbl>
    <w:p w:rsidR="00DD2C3E" w:rsidRPr="003742B2" w:rsidRDefault="00181E8D" w:rsidP="00BA764C">
      <w:pPr>
        <w:widowControl w:val="0"/>
        <w:autoSpaceDE w:val="0"/>
        <w:autoSpaceDN w:val="0"/>
        <w:adjustRightInd w:val="0"/>
        <w:ind w:firstLine="709"/>
        <w:jc w:val="both"/>
      </w:pPr>
      <w:r w:rsidRPr="00310495">
        <w:t xml:space="preserve">  </w:t>
      </w:r>
    </w:p>
    <w:sectPr w:rsidR="00DD2C3E" w:rsidRPr="003742B2" w:rsidSect="00181E8D">
      <w:headerReference w:type="even" r:id="rId8"/>
      <w:headerReference w:type="firs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3F" w:rsidRDefault="0073013F" w:rsidP="003B65F4">
      <w:r>
        <w:separator/>
      </w:r>
    </w:p>
  </w:endnote>
  <w:endnote w:type="continuationSeparator" w:id="1">
    <w:p w:rsidR="0073013F" w:rsidRDefault="0073013F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3F" w:rsidRDefault="0073013F" w:rsidP="003B65F4">
      <w:r>
        <w:separator/>
      </w:r>
    </w:p>
  </w:footnote>
  <w:footnote w:type="continuationSeparator" w:id="1">
    <w:p w:rsidR="0073013F" w:rsidRDefault="0073013F" w:rsidP="003B65F4">
      <w:r>
        <w:continuationSeparator/>
      </w:r>
    </w:p>
  </w:footnote>
  <w:footnote w:id="2">
    <w:p w:rsidR="00E83375" w:rsidRDefault="00E83375" w:rsidP="00E83375">
      <w:pPr>
        <w:pStyle w:val="af0"/>
      </w:pPr>
      <w:r>
        <w:rPr>
          <w:rStyle w:val="af2"/>
        </w:rPr>
        <w:footnoteRef/>
      </w:r>
      <w:r>
        <w:t xml:space="preserve"> Адресный перечень общественных территорий приведен в таблице 3.1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Default="007906D3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33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3375" w:rsidRDefault="00E83375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Pr="003B65F4" w:rsidRDefault="00E83375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3072"/>
    <w:rsid w:val="00037A9D"/>
    <w:rsid w:val="00060E06"/>
    <w:rsid w:val="000640B8"/>
    <w:rsid w:val="00067A3E"/>
    <w:rsid w:val="000B4F78"/>
    <w:rsid w:val="000D0AA2"/>
    <w:rsid w:val="00101A10"/>
    <w:rsid w:val="00106838"/>
    <w:rsid w:val="0011667B"/>
    <w:rsid w:val="00116B87"/>
    <w:rsid w:val="00123C3A"/>
    <w:rsid w:val="00127BB8"/>
    <w:rsid w:val="00131367"/>
    <w:rsid w:val="00151963"/>
    <w:rsid w:val="00153F4E"/>
    <w:rsid w:val="00154948"/>
    <w:rsid w:val="00156592"/>
    <w:rsid w:val="00157C33"/>
    <w:rsid w:val="00157E86"/>
    <w:rsid w:val="00161699"/>
    <w:rsid w:val="00172538"/>
    <w:rsid w:val="00172A8F"/>
    <w:rsid w:val="00181E8D"/>
    <w:rsid w:val="00194CC0"/>
    <w:rsid w:val="00197B51"/>
    <w:rsid w:val="001A2738"/>
    <w:rsid w:val="001A473C"/>
    <w:rsid w:val="001C1B74"/>
    <w:rsid w:val="001C5E58"/>
    <w:rsid w:val="001D11F3"/>
    <w:rsid w:val="001E0EC9"/>
    <w:rsid w:val="001E2439"/>
    <w:rsid w:val="001E4CC2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575"/>
    <w:rsid w:val="00315A20"/>
    <w:rsid w:val="003358F8"/>
    <w:rsid w:val="00340F48"/>
    <w:rsid w:val="00341B3D"/>
    <w:rsid w:val="003509AD"/>
    <w:rsid w:val="003524A7"/>
    <w:rsid w:val="00364228"/>
    <w:rsid w:val="00366781"/>
    <w:rsid w:val="00370356"/>
    <w:rsid w:val="00372BEE"/>
    <w:rsid w:val="003742B2"/>
    <w:rsid w:val="00376FF1"/>
    <w:rsid w:val="00382233"/>
    <w:rsid w:val="003A4448"/>
    <w:rsid w:val="003A6FC3"/>
    <w:rsid w:val="003B65F4"/>
    <w:rsid w:val="003C0967"/>
    <w:rsid w:val="003D2971"/>
    <w:rsid w:val="003E0CEE"/>
    <w:rsid w:val="003E3F63"/>
    <w:rsid w:val="003E5869"/>
    <w:rsid w:val="0040515B"/>
    <w:rsid w:val="00414246"/>
    <w:rsid w:val="00415C5D"/>
    <w:rsid w:val="004219F7"/>
    <w:rsid w:val="0042298C"/>
    <w:rsid w:val="0043683E"/>
    <w:rsid w:val="00472EB3"/>
    <w:rsid w:val="004760E4"/>
    <w:rsid w:val="004809FD"/>
    <w:rsid w:val="00481847"/>
    <w:rsid w:val="004871C5"/>
    <w:rsid w:val="00490FF0"/>
    <w:rsid w:val="00492975"/>
    <w:rsid w:val="0049604B"/>
    <w:rsid w:val="00497E78"/>
    <w:rsid w:val="004B66F1"/>
    <w:rsid w:val="005151F7"/>
    <w:rsid w:val="00522B1D"/>
    <w:rsid w:val="0054705C"/>
    <w:rsid w:val="00564589"/>
    <w:rsid w:val="005946A9"/>
    <w:rsid w:val="00596560"/>
    <w:rsid w:val="005A04FF"/>
    <w:rsid w:val="005A3BE7"/>
    <w:rsid w:val="005A7BD6"/>
    <w:rsid w:val="005B3D8D"/>
    <w:rsid w:val="005C076D"/>
    <w:rsid w:val="005C6437"/>
    <w:rsid w:val="005D29F4"/>
    <w:rsid w:val="005D6F5E"/>
    <w:rsid w:val="005E5686"/>
    <w:rsid w:val="005F63E7"/>
    <w:rsid w:val="006010E2"/>
    <w:rsid w:val="00610AF7"/>
    <w:rsid w:val="00627456"/>
    <w:rsid w:val="00633F89"/>
    <w:rsid w:val="0063417C"/>
    <w:rsid w:val="006345F0"/>
    <w:rsid w:val="00634C2F"/>
    <w:rsid w:val="00640F72"/>
    <w:rsid w:val="00662BCA"/>
    <w:rsid w:val="006763E9"/>
    <w:rsid w:val="006925E4"/>
    <w:rsid w:val="006B0257"/>
    <w:rsid w:val="006B28C9"/>
    <w:rsid w:val="006E445E"/>
    <w:rsid w:val="006E6B3B"/>
    <w:rsid w:val="006E6C31"/>
    <w:rsid w:val="006E72B3"/>
    <w:rsid w:val="00711044"/>
    <w:rsid w:val="007137A1"/>
    <w:rsid w:val="0073013F"/>
    <w:rsid w:val="00735290"/>
    <w:rsid w:val="00737530"/>
    <w:rsid w:val="00747867"/>
    <w:rsid w:val="007512ED"/>
    <w:rsid w:val="00761994"/>
    <w:rsid w:val="007633D3"/>
    <w:rsid w:val="00782BC5"/>
    <w:rsid w:val="0078692A"/>
    <w:rsid w:val="007906D3"/>
    <w:rsid w:val="00792012"/>
    <w:rsid w:val="00792B48"/>
    <w:rsid w:val="00793904"/>
    <w:rsid w:val="007A379D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539"/>
    <w:rsid w:val="008346C1"/>
    <w:rsid w:val="008462C7"/>
    <w:rsid w:val="00866046"/>
    <w:rsid w:val="008920F7"/>
    <w:rsid w:val="008A1C98"/>
    <w:rsid w:val="008B790E"/>
    <w:rsid w:val="008E7128"/>
    <w:rsid w:val="008F29D5"/>
    <w:rsid w:val="008F3119"/>
    <w:rsid w:val="009207EF"/>
    <w:rsid w:val="00923F94"/>
    <w:rsid w:val="009249F7"/>
    <w:rsid w:val="00931399"/>
    <w:rsid w:val="00932F53"/>
    <w:rsid w:val="00936EF6"/>
    <w:rsid w:val="009375CB"/>
    <w:rsid w:val="0098693B"/>
    <w:rsid w:val="009912D2"/>
    <w:rsid w:val="00994C3F"/>
    <w:rsid w:val="009A5C7C"/>
    <w:rsid w:val="009B1DA2"/>
    <w:rsid w:val="009B61CA"/>
    <w:rsid w:val="009E18C1"/>
    <w:rsid w:val="00A05587"/>
    <w:rsid w:val="00A17D98"/>
    <w:rsid w:val="00A25D30"/>
    <w:rsid w:val="00A33134"/>
    <w:rsid w:val="00A36353"/>
    <w:rsid w:val="00A3650D"/>
    <w:rsid w:val="00A37ABC"/>
    <w:rsid w:val="00A37D4C"/>
    <w:rsid w:val="00A40970"/>
    <w:rsid w:val="00A478DE"/>
    <w:rsid w:val="00A60BE7"/>
    <w:rsid w:val="00A758B5"/>
    <w:rsid w:val="00A77035"/>
    <w:rsid w:val="00A83992"/>
    <w:rsid w:val="00A843C7"/>
    <w:rsid w:val="00A90639"/>
    <w:rsid w:val="00A97AA6"/>
    <w:rsid w:val="00AA33FD"/>
    <w:rsid w:val="00AA6D6F"/>
    <w:rsid w:val="00AA7E6C"/>
    <w:rsid w:val="00AB0FFA"/>
    <w:rsid w:val="00AC6E21"/>
    <w:rsid w:val="00AC767E"/>
    <w:rsid w:val="00AE0B14"/>
    <w:rsid w:val="00AF4291"/>
    <w:rsid w:val="00AF485A"/>
    <w:rsid w:val="00B21CFF"/>
    <w:rsid w:val="00B241B3"/>
    <w:rsid w:val="00B47F2D"/>
    <w:rsid w:val="00B841F2"/>
    <w:rsid w:val="00B85820"/>
    <w:rsid w:val="00B87874"/>
    <w:rsid w:val="00BA3540"/>
    <w:rsid w:val="00BA3C19"/>
    <w:rsid w:val="00BA764C"/>
    <w:rsid w:val="00BB3BFE"/>
    <w:rsid w:val="00BC1C3B"/>
    <w:rsid w:val="00BD0F34"/>
    <w:rsid w:val="00BE0EDE"/>
    <w:rsid w:val="00BF25AB"/>
    <w:rsid w:val="00C05DEB"/>
    <w:rsid w:val="00C12C11"/>
    <w:rsid w:val="00C12EF7"/>
    <w:rsid w:val="00C14D05"/>
    <w:rsid w:val="00C17466"/>
    <w:rsid w:val="00C521C5"/>
    <w:rsid w:val="00C710B0"/>
    <w:rsid w:val="00C900EF"/>
    <w:rsid w:val="00CA3714"/>
    <w:rsid w:val="00CB0550"/>
    <w:rsid w:val="00CB541C"/>
    <w:rsid w:val="00CB67B5"/>
    <w:rsid w:val="00CD2705"/>
    <w:rsid w:val="00CE0C46"/>
    <w:rsid w:val="00CE3697"/>
    <w:rsid w:val="00CF4D9D"/>
    <w:rsid w:val="00CF5940"/>
    <w:rsid w:val="00D209B9"/>
    <w:rsid w:val="00D27B78"/>
    <w:rsid w:val="00D51885"/>
    <w:rsid w:val="00D75936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014E"/>
    <w:rsid w:val="00E76B40"/>
    <w:rsid w:val="00E771DA"/>
    <w:rsid w:val="00E83375"/>
    <w:rsid w:val="00E93B40"/>
    <w:rsid w:val="00EA1895"/>
    <w:rsid w:val="00EA347F"/>
    <w:rsid w:val="00EA597C"/>
    <w:rsid w:val="00EB602A"/>
    <w:rsid w:val="00EB79B5"/>
    <w:rsid w:val="00ED0489"/>
    <w:rsid w:val="00ED186B"/>
    <w:rsid w:val="00ED7C48"/>
    <w:rsid w:val="00ED7CFD"/>
    <w:rsid w:val="00EF34D0"/>
    <w:rsid w:val="00EF5F73"/>
    <w:rsid w:val="00F10410"/>
    <w:rsid w:val="00F10CEF"/>
    <w:rsid w:val="00F11D15"/>
    <w:rsid w:val="00F24A8A"/>
    <w:rsid w:val="00F42FD9"/>
    <w:rsid w:val="00F53DE8"/>
    <w:rsid w:val="00F57F49"/>
    <w:rsid w:val="00F84A39"/>
    <w:rsid w:val="00F918FD"/>
    <w:rsid w:val="00FC2825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B0AA-5F06-44A3-9592-CA6B31A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41</cp:revision>
  <cp:lastPrinted>2022-06-28T11:17:00Z</cp:lastPrinted>
  <dcterms:created xsi:type="dcterms:W3CDTF">2021-06-01T12:57:00Z</dcterms:created>
  <dcterms:modified xsi:type="dcterms:W3CDTF">2023-01-11T11:40:00Z</dcterms:modified>
</cp:coreProperties>
</file>