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5" w:rsidRPr="008F363B" w:rsidRDefault="00C62B24" w:rsidP="00705875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</w:t>
      </w:r>
      <w:r w:rsidR="00705875" w:rsidRPr="008F363B">
        <w:rPr>
          <w:color w:val="000000"/>
        </w:rPr>
        <w:t>Зачем нужен огнетушитель? И что нужно о нем знать?</w:t>
      </w:r>
    </w:p>
    <w:p w:rsidR="00705875" w:rsidRPr="008F363B" w:rsidRDefault="00705875" w:rsidP="00705875">
      <w:pPr>
        <w:pStyle w:val="1"/>
        <w:shd w:val="clear" w:color="auto" w:fill="FFFFFF"/>
        <w:ind w:firstLine="709"/>
        <w:jc w:val="both"/>
        <w:textAlignment w:val="baseline"/>
        <w:rPr>
          <w:bCs w:val="0"/>
          <w:color w:val="000000"/>
          <w:spacing w:val="-5"/>
        </w:rPr>
      </w:pP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63B">
        <w:rPr>
          <w:b/>
          <w:bCs/>
          <w:color w:val="000000"/>
          <w:sz w:val="28"/>
          <w:szCs w:val="28"/>
        </w:rPr>
        <w:t>Огнетушитель</w:t>
      </w:r>
      <w:r>
        <w:rPr>
          <w:color w:val="000000"/>
          <w:sz w:val="28"/>
          <w:szCs w:val="28"/>
        </w:rPr>
        <w:t xml:space="preserve"> </w:t>
      </w:r>
      <w:r w:rsidRPr="008F363B">
        <w:rPr>
          <w:color w:val="000000"/>
          <w:sz w:val="28"/>
          <w:szCs w:val="28"/>
        </w:rPr>
        <w:t>– это первичное средство пожаротушения, которое применяется в случае обнаружения очага возгорания и позволяет его ликвидировать частично или полностью до приезда пожарной охраны.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Огнетушитель представляет собой баллон красного цвета с соплом или трубкой, через которые происходит выброс огнетушащего вещества.</w:t>
      </w:r>
    </w:p>
    <w:p w:rsidR="00705875" w:rsidRDefault="00705875" w:rsidP="0070587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8F363B">
        <w:rPr>
          <w:bCs/>
          <w:color w:val="000000"/>
          <w:sz w:val="28"/>
          <w:szCs w:val="28"/>
        </w:rPr>
        <w:t>виды огнетушителей</w:t>
      </w:r>
      <w:r w:rsidRPr="008F363B">
        <w:rPr>
          <w:color w:val="000000"/>
          <w:sz w:val="28"/>
          <w:szCs w:val="28"/>
        </w:rPr>
        <w:t> можно классифицировать по следующим признакам:</w:t>
      </w:r>
    </w:p>
    <w:p w:rsidR="00705875" w:rsidRDefault="00705875" w:rsidP="0070587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5875" w:rsidRDefault="00705875" w:rsidP="0070587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Мобильность</w:t>
      </w:r>
    </w:p>
    <w:p w:rsidR="00705875" w:rsidRDefault="00705875" w:rsidP="0070587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363B">
        <w:rPr>
          <w:b/>
          <w:bCs/>
          <w:color w:val="000000"/>
          <w:sz w:val="28"/>
          <w:szCs w:val="28"/>
        </w:rPr>
        <w:t>передвижной огнетушитель –</w:t>
      </w:r>
      <w:r w:rsidRPr="008F363B">
        <w:rPr>
          <w:color w:val="000000"/>
          <w:sz w:val="28"/>
          <w:szCs w:val="28"/>
        </w:rPr>
        <w:t> огнетушитель с полной массой не менее 20 кг, но не более 400 кг, смонтированный на колесах или на тележке;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363B">
        <w:rPr>
          <w:b/>
          <w:bCs/>
          <w:color w:val="000000"/>
          <w:sz w:val="28"/>
          <w:szCs w:val="28"/>
        </w:rPr>
        <w:t>переносной огнетушитель –</w:t>
      </w:r>
      <w:r w:rsidRPr="008F363B">
        <w:rPr>
          <w:color w:val="000000"/>
          <w:sz w:val="28"/>
          <w:szCs w:val="28"/>
        </w:rPr>
        <w:t> огнетушитель с полной массой не более 20 кг, конструктивное исполнение которого обеспечивает возможность его переноски и применения одним человеком.</w:t>
      </w:r>
    </w:p>
    <w:p w:rsidR="00705875" w:rsidRDefault="00705875" w:rsidP="00705875">
      <w:pPr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Способ срабатывания</w:t>
      </w:r>
    </w:p>
    <w:p w:rsidR="00705875" w:rsidRDefault="00705875" w:rsidP="007058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363B">
        <w:rPr>
          <w:b/>
          <w:bCs/>
          <w:color w:val="000000"/>
          <w:sz w:val="28"/>
          <w:szCs w:val="28"/>
        </w:rPr>
        <w:t>автоматические</w:t>
      </w:r>
      <w:r w:rsidRPr="008F363B">
        <w:rPr>
          <w:color w:val="000000"/>
          <w:sz w:val="28"/>
          <w:szCs w:val="28"/>
        </w:rPr>
        <w:t> – тип огнетушителей, которые в своей конструкции имеют встроенные детекторы дыма или температурные реле;</w:t>
      </w:r>
    </w:p>
    <w:p w:rsidR="00705875" w:rsidRDefault="00705875" w:rsidP="007058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363B">
        <w:rPr>
          <w:b/>
          <w:bCs/>
          <w:color w:val="000000"/>
          <w:sz w:val="28"/>
          <w:szCs w:val="28"/>
        </w:rPr>
        <w:t>ручные</w:t>
      </w:r>
      <w:r w:rsidRPr="008F363B">
        <w:rPr>
          <w:color w:val="000000"/>
          <w:sz w:val="28"/>
          <w:szCs w:val="28"/>
        </w:rPr>
        <w:t> – тип огнетушителей, срабатывание которых происходит путем нажатия на рычаг запорно-пускового устройства и его удержания;</w:t>
      </w:r>
    </w:p>
    <w:p w:rsidR="00705875" w:rsidRDefault="00705875" w:rsidP="007058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363B">
        <w:rPr>
          <w:b/>
          <w:bCs/>
          <w:color w:val="000000"/>
          <w:sz w:val="28"/>
          <w:szCs w:val="28"/>
        </w:rPr>
        <w:t>комбинированные</w:t>
      </w:r>
      <w:r w:rsidRPr="008F363B">
        <w:rPr>
          <w:color w:val="000000"/>
          <w:sz w:val="28"/>
          <w:szCs w:val="28"/>
        </w:rPr>
        <w:t> — тип огнетушителей, которые могут запускаться как автоматическом, так и ручном режиме в зависимости от необходимости.</w:t>
      </w:r>
    </w:p>
    <w:p w:rsidR="00705875" w:rsidRDefault="00705875" w:rsidP="00705875">
      <w:pPr>
        <w:jc w:val="both"/>
        <w:rPr>
          <w:color w:val="000000"/>
          <w:sz w:val="28"/>
          <w:szCs w:val="28"/>
        </w:rPr>
      </w:pPr>
    </w:p>
    <w:p w:rsidR="00705875" w:rsidRPr="008F363B" w:rsidRDefault="00705875" w:rsidP="00705875">
      <w:pPr>
        <w:jc w:val="both"/>
        <w:rPr>
          <w:b/>
          <w:color w:val="000000"/>
          <w:sz w:val="28"/>
          <w:szCs w:val="28"/>
        </w:rPr>
      </w:pPr>
      <w:r w:rsidRPr="008F363B">
        <w:rPr>
          <w:b/>
          <w:color w:val="000000"/>
          <w:sz w:val="28"/>
          <w:szCs w:val="28"/>
        </w:rPr>
        <w:t>Тип огнетушащего вещества</w:t>
      </w:r>
    </w:p>
    <w:p w:rsidR="00705875" w:rsidRDefault="00705875" w:rsidP="0070587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По типу огнетушащего вещества огнетушители подразделяются на водные (ОВ), воздушно-пенные (ОВП), порошковые (ОП), углекислотные (ОУ) и воздушно-эмульсионные (ОВЭ).</w:t>
      </w:r>
    </w:p>
    <w:p w:rsidR="00705875" w:rsidRDefault="00705875" w:rsidP="00705875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363B">
        <w:rPr>
          <w:color w:val="000000"/>
          <w:sz w:val="28"/>
          <w:szCs w:val="28"/>
        </w:rPr>
        <w:t xml:space="preserve">Как определить, какой вид огнетушителей по типу огнетушащего вещества, необходим в конкретной организации? Ниже представлено сравнение возможности </w:t>
      </w:r>
      <w:r w:rsidRPr="008F363B">
        <w:rPr>
          <w:color w:val="000000"/>
          <w:sz w:val="28"/>
          <w:szCs w:val="28"/>
        </w:rPr>
        <w:lastRenderedPageBreak/>
        <w:t xml:space="preserve">применения определенного вида огнетушителя в зависимости от класса пожара: </w:t>
      </w:r>
      <w:r>
        <w:rPr>
          <w:noProof/>
          <w:sz w:val="28"/>
          <w:szCs w:val="28"/>
        </w:rPr>
        <w:drawing>
          <wp:inline distT="0" distB="0" distL="0" distR="0">
            <wp:extent cx="5600700" cy="3200400"/>
            <wp:effectExtent l="19050" t="0" r="0" b="0"/>
            <wp:docPr id="1" name="Рисунок 1" descr="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e_24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2. Размещение огнетушителей и их необходимое количество</w:t>
      </w:r>
    </w:p>
    <w:p w:rsidR="00705875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Размещение огнетушителей на территории организации следует осуществлять в соответствии с требованиями </w:t>
      </w:r>
      <w:r w:rsidRPr="008F363B">
        <w:rPr>
          <w:b/>
          <w:bCs/>
          <w:color w:val="000000"/>
          <w:sz w:val="28"/>
          <w:szCs w:val="28"/>
        </w:rPr>
        <w:t>Приказа МЧС РФ от 25 марта 2009 г. N 179 «Об утверждении свода правил «Техника пожарная. Огнетушители. Требования к эксплуатации».</w:t>
      </w:r>
      <w:r w:rsidRPr="008F363B">
        <w:rPr>
          <w:color w:val="000000"/>
          <w:sz w:val="28"/>
          <w:szCs w:val="28"/>
        </w:rPr>
        <w:t> В соответствии с данным Приказом выделим основные правила, которых необходимо придерживаться при расположении огнетушителей:</w:t>
      </w:r>
    </w:p>
    <w:p w:rsidR="00705875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Огнетушители необходимо размещать так, чтобы было исключено воздействие на них прямых солнечных лучей, тепловых потоков, механических воздействий и других неблагоприятных факторов (вибрация, агрессивная среда, повышенная влажность и т.д.).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Огнетушители должны быть хорошо видны и легкодоступны в случае пожара.</w:t>
      </w:r>
      <w:r>
        <w:rPr>
          <w:color w:val="000000"/>
          <w:sz w:val="28"/>
          <w:szCs w:val="28"/>
        </w:rPr>
        <w:t xml:space="preserve"> </w:t>
      </w:r>
      <w:r w:rsidRPr="008F363B">
        <w:rPr>
          <w:color w:val="000000"/>
          <w:sz w:val="28"/>
          <w:szCs w:val="28"/>
        </w:rPr>
        <w:t>Размещать огнетушители нужно вблизи мест наиболее вероятного возникновения пожара, вдоль путей прохода, а также около выхода из помещения.</w:t>
      </w:r>
      <w:r>
        <w:rPr>
          <w:color w:val="000000"/>
          <w:sz w:val="28"/>
          <w:szCs w:val="28"/>
        </w:rPr>
        <w:t xml:space="preserve"> </w:t>
      </w:r>
      <w:r w:rsidRPr="008F363B">
        <w:rPr>
          <w:color w:val="000000"/>
          <w:sz w:val="28"/>
          <w:szCs w:val="28"/>
        </w:rPr>
        <w:t>Огнетушители не должны препятствовать эвакуации людей во время пожара.</w:t>
      </w:r>
      <w:r>
        <w:rPr>
          <w:color w:val="000000"/>
          <w:sz w:val="28"/>
          <w:szCs w:val="28"/>
        </w:rPr>
        <w:t xml:space="preserve"> </w:t>
      </w:r>
      <w:r w:rsidRPr="008F363B">
        <w:rPr>
          <w:color w:val="000000"/>
          <w:sz w:val="28"/>
          <w:szCs w:val="28"/>
        </w:rPr>
        <w:t>В помещениях, насыщенных производственным или другим оборудованием, заслоняющим огнетушители, должны быть установлены указатели их местоположения. Указатели местоположения огнетушителей должны быть выполнены в соответствии с требованиями</w:t>
      </w:r>
      <w:r>
        <w:rPr>
          <w:color w:val="000000"/>
          <w:sz w:val="28"/>
          <w:szCs w:val="28"/>
        </w:rPr>
        <w:t xml:space="preserve"> </w:t>
      </w:r>
      <w:r w:rsidRPr="008F363B">
        <w:rPr>
          <w:b/>
          <w:bCs/>
          <w:color w:val="000000"/>
          <w:sz w:val="28"/>
          <w:szCs w:val="28"/>
        </w:rPr>
        <w:t>ГОСТ 12.4.026-2015 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  <w:r w:rsidRPr="008F363B">
        <w:rPr>
          <w:color w:val="000000"/>
          <w:sz w:val="28"/>
          <w:szCs w:val="28"/>
        </w:rPr>
        <w:t> и располагаться на видных местах на высоте 2,0 — 2,5 м от уровня пола, с учетом условий их видимости в соответствии с </w:t>
      </w:r>
      <w:r w:rsidRPr="008F363B">
        <w:rPr>
          <w:b/>
          <w:bCs/>
          <w:color w:val="000000"/>
          <w:sz w:val="28"/>
          <w:szCs w:val="28"/>
        </w:rPr>
        <w:t>ГОСТ 12.4.009-83 «Система стандартов безопасности труда. Пожарная техника для защиты объектов. Основные виды. Размещение и обслуживание»</w:t>
      </w:r>
      <w:r w:rsidRPr="008F363B">
        <w:rPr>
          <w:color w:val="000000"/>
          <w:sz w:val="28"/>
          <w:szCs w:val="28"/>
        </w:rPr>
        <w:t>.</w:t>
      </w:r>
    </w:p>
    <w:p w:rsidR="00705875" w:rsidRPr="008F363B" w:rsidRDefault="00705875" w:rsidP="007058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Расстояние от возможного очага пожара до ближайшего не должно превышать 20 м.</w:t>
      </w:r>
    </w:p>
    <w:p w:rsidR="00705875" w:rsidRPr="008F363B" w:rsidRDefault="00705875" w:rsidP="007058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Способы размещения огнетушителей:</w:t>
      </w:r>
    </w:p>
    <w:p w:rsidR="00705875" w:rsidRPr="008F363B" w:rsidRDefault="00705875" w:rsidP="007058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навеска на кронштейн;</w:t>
      </w:r>
    </w:p>
    <w:p w:rsidR="00705875" w:rsidRPr="008F363B" w:rsidRDefault="00705875" w:rsidP="0070587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14450" cy="2047875"/>
            <wp:effectExtent l="19050" t="0" r="0" b="0"/>
            <wp:docPr id="2" name="Рисунок 2" descr="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75" w:rsidRPr="008F363B" w:rsidRDefault="00705875" w:rsidP="0070587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установка в пожарные шкафы совместно с пожарным краном;</w:t>
      </w:r>
    </w:p>
    <w:p w:rsidR="00705875" w:rsidRPr="008F363B" w:rsidRDefault="00705875" w:rsidP="0070587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0" cy="1990725"/>
            <wp:effectExtent l="19050" t="0" r="0" b="0"/>
            <wp:docPr id="3" name="Рисунок 3" descr="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75" w:rsidRPr="008F363B" w:rsidRDefault="00705875" w:rsidP="0070587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установка на напольные подставки.</w:t>
      </w:r>
    </w:p>
    <w:p w:rsidR="00705875" w:rsidRPr="008F363B" w:rsidRDefault="00705875" w:rsidP="0070587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2150" cy="2600325"/>
            <wp:effectExtent l="19050" t="0" r="0" b="0"/>
            <wp:docPr id="4" name="Рисунок 4" descr="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8. Огнетушители необходимо располагать так, чтобы основные надписи и пиктограммы, показывающие порядок приведения их в действие, были хорошо видны и обращены наружу или в сторону наиболее вероятного подхода к ним.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b/>
          <w:bCs/>
          <w:color w:val="000000"/>
          <w:sz w:val="28"/>
          <w:szCs w:val="28"/>
        </w:rPr>
        <w:t>9. Огнетушители массой менее 15 кг</w:t>
      </w:r>
      <w:r w:rsidRPr="008F363B">
        <w:rPr>
          <w:color w:val="000000"/>
          <w:sz w:val="28"/>
          <w:szCs w:val="28"/>
        </w:rPr>
        <w:t>, должны быть установлены таким образом, чтобы их верх располагался на высоте не более 1,5 м от пола.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b/>
          <w:bCs/>
          <w:color w:val="000000"/>
          <w:sz w:val="28"/>
          <w:szCs w:val="28"/>
        </w:rPr>
        <w:t>Огнетушители, имеющие массу 15 кг</w:t>
      </w:r>
      <w:r w:rsidRPr="008F363B">
        <w:rPr>
          <w:color w:val="000000"/>
          <w:sz w:val="28"/>
          <w:szCs w:val="28"/>
        </w:rPr>
        <w:t> и более, должны устанавливаться так, чтобы верх огнетушителя располагался на высоте не более 1,0 м.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10. Расстояние от двери до огнетушителя должно быть таким, чтобы не мешать ее полному открыванию.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lastRenderedPageBreak/>
        <w:t>11. Расчет необходимо количества огнетушителей в организации осуществляется в соответствии с п. 468, 474 Правил противопожарного режима в Российской Федерации (утв. </w:t>
      </w:r>
      <w:hyperlink r:id="rId9" w:tgtFrame="_blank" w:history="1">
        <w:r w:rsidRPr="008F363B">
          <w:rPr>
            <w:rStyle w:val="ac"/>
            <w:color w:val="0077FF"/>
          </w:rPr>
          <w:t>постановлением Правительства РФ от 25 апреля 2012 г. N 390</w:t>
        </w:r>
      </w:hyperlink>
      <w:r w:rsidRPr="008F363B">
        <w:rPr>
          <w:color w:val="000000"/>
          <w:sz w:val="28"/>
          <w:szCs w:val="28"/>
        </w:rPr>
        <w:t>) и приложениями N 1 и 2 к указанным Правилам в зависимости от огнетушащей способности огнетушителя, категорий помещений по пожарной и взрывопожарной опасности, а также класса пожара.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b/>
          <w:bCs/>
          <w:i/>
          <w:iCs/>
          <w:color w:val="000000"/>
          <w:sz w:val="28"/>
          <w:szCs w:val="28"/>
        </w:rPr>
        <w:t>Внимание! В общественных зданиях и сооружениях на каждом этаже размещается не менее 2 огнетушителей</w:t>
      </w:r>
    </w:p>
    <w:p w:rsidR="00705875" w:rsidRPr="008F363B" w:rsidRDefault="00705875" w:rsidP="00705875">
      <w:pPr>
        <w:pStyle w:val="2"/>
        <w:shd w:val="clear" w:color="auto" w:fill="FFFFFF"/>
        <w:ind w:firstLine="709"/>
        <w:jc w:val="both"/>
        <w:rPr>
          <w:color w:val="000000"/>
        </w:rPr>
      </w:pPr>
      <w:r w:rsidRPr="008F363B">
        <w:rPr>
          <w:color w:val="000000"/>
        </w:rPr>
        <w:t>3. Техническое обслуживание огнетушителей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В соответствии с п. 478 Правил противопожарного режима 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8F363B">
        <w:rPr>
          <w:color w:val="000000"/>
          <w:sz w:val="28"/>
          <w:szCs w:val="28"/>
        </w:rPr>
        <w:t>(утв. постановлением Правительства РФ от 25 апреля 2012 г. N 390)  руководитель организации обязан обеспечить исправность огнетушителей, периодичность их осмотра и проверки, а также своевременную перезарядку огнетушителей.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Техническое обслуживание огнетушителей регламентируется </w:t>
      </w:r>
      <w:r w:rsidRPr="008F363B">
        <w:rPr>
          <w:b/>
          <w:bCs/>
          <w:color w:val="000000"/>
          <w:sz w:val="28"/>
          <w:szCs w:val="28"/>
        </w:rPr>
        <w:t>СП 9.13130.2009 «Техника пожарная. Огнетушители. Требования к эксплуатации».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Огнетушители, введенные в эксплуатацию, должны подвергаться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Техническое обслуживание огнетушителей включает в себя:</w:t>
      </w:r>
    </w:p>
    <w:p w:rsidR="00705875" w:rsidRPr="008F363B" w:rsidRDefault="00705875" w:rsidP="0070587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периодические проверки;</w:t>
      </w:r>
    </w:p>
    <w:p w:rsidR="00705875" w:rsidRPr="008F363B" w:rsidRDefault="00705875" w:rsidP="0070587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осмотры;</w:t>
      </w:r>
    </w:p>
    <w:p w:rsidR="00705875" w:rsidRPr="008F363B" w:rsidRDefault="00705875" w:rsidP="0070587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ремонт;</w:t>
      </w:r>
    </w:p>
    <w:p w:rsidR="00705875" w:rsidRPr="008F363B" w:rsidRDefault="00705875" w:rsidP="0070587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испытания;</w:t>
      </w:r>
    </w:p>
    <w:p w:rsidR="00705875" w:rsidRPr="008F363B" w:rsidRDefault="00705875" w:rsidP="0070587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перезарядку.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b/>
          <w:bCs/>
          <w:i/>
          <w:iCs/>
          <w:color w:val="000000"/>
          <w:sz w:val="28"/>
          <w:szCs w:val="28"/>
        </w:rPr>
        <w:t>Внимание! Для проведения технического обслуживания огнетушителей руководителю организации необходимо назначить приказом по организации лицо ответственное за данный процесс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Техническое обслуживание проводится в соответствии инструкцией по эксплуатации завода-изготовителя, которая прилагается к огнетушителю.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Огнетушитель, введенный в эксплуатацию, должен быть заряжен, опломбирован, иметь бирку с указанием даты зарядки, даты очередной перезарядки и технического освидетельствования.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В ходе </w:t>
      </w:r>
      <w:r w:rsidRPr="008F363B">
        <w:rPr>
          <w:b/>
          <w:bCs/>
          <w:color w:val="000000"/>
          <w:sz w:val="28"/>
          <w:szCs w:val="28"/>
        </w:rPr>
        <w:t>первоначальной проверки</w:t>
      </w:r>
      <w:r w:rsidRPr="008F363B">
        <w:rPr>
          <w:color w:val="000000"/>
          <w:sz w:val="28"/>
          <w:szCs w:val="28"/>
        </w:rPr>
        <w:t> состояния огнетушителя необходимо: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а) произвести внешний осмотр огнетушителя, в ходе которого обратить внимание на:</w:t>
      </w:r>
    </w:p>
    <w:p w:rsidR="00705875" w:rsidRPr="008F363B" w:rsidRDefault="00705875" w:rsidP="0070587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отсутствие вмятин, сколов, глубоких царапин на корпусе, узлах управления, гайках и головке огнетушителя;</w:t>
      </w:r>
    </w:p>
    <w:p w:rsidR="00705875" w:rsidRPr="008F363B" w:rsidRDefault="00705875" w:rsidP="0070587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состояние защитных и лакокрасочных покрытий;</w:t>
      </w:r>
    </w:p>
    <w:p w:rsidR="00705875" w:rsidRPr="008F363B" w:rsidRDefault="00705875" w:rsidP="0070587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наличие четкой и понятной инструкции;</w:t>
      </w:r>
    </w:p>
    <w:p w:rsidR="00705875" w:rsidRPr="008F363B" w:rsidRDefault="00705875" w:rsidP="0070587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состояние предохранительного устройства;</w:t>
      </w:r>
    </w:p>
    <w:p w:rsidR="00705875" w:rsidRPr="008F363B" w:rsidRDefault="00705875" w:rsidP="0070587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исправность манометра или индикатора давления (если он предусмот</w:t>
      </w:r>
      <w:r>
        <w:rPr>
          <w:color w:val="000000"/>
          <w:sz w:val="28"/>
          <w:szCs w:val="28"/>
        </w:rPr>
        <w:t>рен конструкцией огнетушителя);</w:t>
      </w:r>
    </w:p>
    <w:p w:rsidR="00705875" w:rsidRPr="008F363B" w:rsidRDefault="00705875" w:rsidP="0070587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масса огнетушителя, а также масса ОТВ в огнетушителе (последнюю определяют расчетным путем);</w:t>
      </w:r>
    </w:p>
    <w:p w:rsidR="00705875" w:rsidRPr="008F363B" w:rsidRDefault="00705875" w:rsidP="0070587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lastRenderedPageBreak/>
        <w:t>состояние гибкого шланга (при его наличии) и распылителя ОТВ (на отсутствие механических</w:t>
      </w:r>
      <w:r>
        <w:rPr>
          <w:color w:val="000000"/>
          <w:sz w:val="28"/>
          <w:szCs w:val="28"/>
        </w:rPr>
        <w:t xml:space="preserve"> повреждений, следов коррозии,</w:t>
      </w:r>
      <w:r w:rsidRPr="008F363B">
        <w:rPr>
          <w:color w:val="000000"/>
          <w:sz w:val="28"/>
          <w:szCs w:val="28"/>
        </w:rPr>
        <w:t xml:space="preserve"> или других предметов, препятствующих свободному выходу ОТВ из огнетушителя);</w:t>
      </w:r>
    </w:p>
    <w:p w:rsidR="00705875" w:rsidRPr="008F363B" w:rsidRDefault="00705875" w:rsidP="0070587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б) проверить комплектацию огнетушителя;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в) проверить состояние места установки огнетушителя:</w:t>
      </w:r>
    </w:p>
    <w:p w:rsidR="00705875" w:rsidRPr="008F363B" w:rsidRDefault="00705875" w:rsidP="007058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заметность огнетушителя;</w:t>
      </w:r>
    </w:p>
    <w:p w:rsidR="00705875" w:rsidRPr="008F363B" w:rsidRDefault="00705875" w:rsidP="007058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заметность указателя места установки огнетушителя;</w:t>
      </w:r>
    </w:p>
    <w:p w:rsidR="00705875" w:rsidRPr="008F363B" w:rsidRDefault="00705875" w:rsidP="007058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возможность свободного подхода к огнетушителю.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В ходе </w:t>
      </w:r>
      <w:r w:rsidRPr="008F363B">
        <w:rPr>
          <w:b/>
          <w:bCs/>
          <w:color w:val="000000"/>
          <w:sz w:val="28"/>
          <w:szCs w:val="28"/>
        </w:rPr>
        <w:t>ежеквартальной проверки</w:t>
      </w:r>
      <w:r w:rsidRPr="008F363B">
        <w:rPr>
          <w:color w:val="000000"/>
          <w:sz w:val="28"/>
          <w:szCs w:val="28"/>
        </w:rPr>
        <w:t> состояния огнетушителя необходимо:</w:t>
      </w:r>
    </w:p>
    <w:p w:rsidR="00705875" w:rsidRPr="008F363B" w:rsidRDefault="00705875" w:rsidP="0070587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проверить место установки огнетушителя;</w:t>
      </w:r>
    </w:p>
    <w:p w:rsidR="00705875" w:rsidRPr="008F363B" w:rsidRDefault="00705875" w:rsidP="0070587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проверить состояние подходов к огнетушителю;</w:t>
      </w:r>
    </w:p>
    <w:p w:rsidR="00705875" w:rsidRPr="008F363B" w:rsidRDefault="00705875" w:rsidP="0070587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произвести внешний осмотр огнетушителя.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В ходе </w:t>
      </w:r>
      <w:r w:rsidRPr="008F363B">
        <w:rPr>
          <w:b/>
          <w:bCs/>
          <w:color w:val="000000"/>
          <w:sz w:val="28"/>
          <w:szCs w:val="28"/>
        </w:rPr>
        <w:t>ежегодной проверки</w:t>
      </w:r>
      <w:r w:rsidRPr="008F363B">
        <w:rPr>
          <w:color w:val="000000"/>
          <w:sz w:val="28"/>
          <w:szCs w:val="28"/>
        </w:rPr>
        <w:t> состояния огнетушителя необходимо:</w:t>
      </w:r>
    </w:p>
    <w:p w:rsidR="00705875" w:rsidRPr="008F363B" w:rsidRDefault="00705875" w:rsidP="007058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проверить место установки огнетушителя;</w:t>
      </w:r>
    </w:p>
    <w:p w:rsidR="00705875" w:rsidRPr="008F363B" w:rsidRDefault="00705875" w:rsidP="007058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проверить состояние подходов к огнетушителю;</w:t>
      </w:r>
    </w:p>
    <w:p w:rsidR="00705875" w:rsidRPr="008F363B" w:rsidRDefault="00705875" w:rsidP="007058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произвести внешний осмотр огнетушителя;</w:t>
      </w:r>
    </w:p>
    <w:p w:rsidR="00705875" w:rsidRPr="008F363B" w:rsidRDefault="00705875" w:rsidP="007058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контроль величины утечки вытесняющего газа из газового баллона или ОТВ из газовых огнетушителей;</w:t>
      </w:r>
    </w:p>
    <w:p w:rsidR="00705875" w:rsidRPr="008F363B" w:rsidRDefault="00705875" w:rsidP="007058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производится вскрытие огнетушителей (полное или выборочное), оценка состояния фильтров, проверка параметров ОТВ и, если они не соответствуют требованиям соответствующих нормативных документов, производится перезарядку огнетушителей.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Не реже одного раза в 5 лет каждый огнетушитель и баллон с вытесняющим газом должны быть разряжены, корпус огнетушителя полностью очищен от остатков ОТВ, произведен внешний и внутренний осмотр, а также проведены испытания на прочность и герметичность корпуса огнетушителя, пусковой головки, шланга и запорного устройства.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При обнаружении механического повреждения баллона или следов коррозии на  его корпусе огнетушитель должен быть подвергнут испытанию на прочность досрочно.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Все огнетушители должны перезаряжаться в следующих случаях:</w:t>
      </w:r>
    </w:p>
    <w:p w:rsidR="00705875" w:rsidRPr="008F363B" w:rsidRDefault="00705875" w:rsidP="0070587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сразу после применения;</w:t>
      </w:r>
    </w:p>
    <w:p w:rsidR="00705875" w:rsidRDefault="00705875" w:rsidP="0070587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если величина утечки газового ОТВ или вытесняющего газа за год превышает допустимое значение.</w:t>
      </w:r>
    </w:p>
    <w:p w:rsidR="00705875" w:rsidRPr="008F363B" w:rsidRDefault="00705875" w:rsidP="00705875">
      <w:pPr>
        <w:shd w:val="clear" w:color="auto" w:fill="FFFFFF"/>
        <w:jc w:val="both"/>
        <w:rPr>
          <w:color w:val="000000"/>
          <w:sz w:val="28"/>
          <w:szCs w:val="28"/>
        </w:rPr>
      </w:pPr>
      <w:r w:rsidRPr="008F363B">
        <w:rPr>
          <w:b/>
          <w:bCs/>
          <w:color w:val="000000"/>
          <w:sz w:val="28"/>
          <w:szCs w:val="28"/>
        </w:rPr>
        <w:t>СРОКИ ПРОВЕРКИ ПАРАМЕТРОВ ОТВ И ПЕРЕЗАРЯДКИ ОГНЕТУШИТЕЛЕЙ</w:t>
      </w:r>
    </w:p>
    <w:p w:rsidR="00705875" w:rsidRPr="008F363B" w:rsidRDefault="00705875" w:rsidP="00705875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24425" cy="1952625"/>
            <wp:effectExtent l="19050" t="0" r="9525" b="0"/>
            <wp:docPr id="5" name="Рисунок 5" descr="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le_12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63B">
        <w:rPr>
          <w:b/>
          <w:bCs/>
          <w:i/>
          <w:iCs/>
          <w:color w:val="000000"/>
          <w:sz w:val="28"/>
          <w:szCs w:val="28"/>
        </w:rPr>
        <w:t>Внимание! Все работы по проверке, освидетельствованию, перезарядке огнетушителей проводятся только специализированной организацией</w:t>
      </w:r>
    </w:p>
    <w:p w:rsidR="00705875" w:rsidRPr="008F363B" w:rsidRDefault="00705875" w:rsidP="00705875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63B">
        <w:rPr>
          <w:color w:val="000000"/>
          <w:sz w:val="28"/>
          <w:szCs w:val="28"/>
        </w:rPr>
        <w:t>Информацию о проведенной перезарядке огнетушителя вносят на корпус огнетушителя (при помощи этикетки или бирки, прикрепленной к огнетушителю), а также в его эксплуатационный паспорт.</w:t>
      </w:r>
    </w:p>
    <w:p w:rsidR="00705875" w:rsidRDefault="00705875" w:rsidP="0070587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19B" w:rsidRPr="00ED51CA" w:rsidRDefault="00B8019B" w:rsidP="00ED51CA">
      <w:pPr>
        <w:rPr>
          <w:szCs w:val="32"/>
        </w:rPr>
      </w:pPr>
    </w:p>
    <w:sectPr w:rsidR="00B8019B" w:rsidRPr="00ED51CA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9460F"/>
    <w:rsid w:val="00264138"/>
    <w:rsid w:val="00284413"/>
    <w:rsid w:val="003C601E"/>
    <w:rsid w:val="004438A4"/>
    <w:rsid w:val="00444CB4"/>
    <w:rsid w:val="0055492F"/>
    <w:rsid w:val="00563BC7"/>
    <w:rsid w:val="00566F77"/>
    <w:rsid w:val="00570F5F"/>
    <w:rsid w:val="005C0187"/>
    <w:rsid w:val="006629DE"/>
    <w:rsid w:val="00705875"/>
    <w:rsid w:val="00744434"/>
    <w:rsid w:val="009D425A"/>
    <w:rsid w:val="00A04C13"/>
    <w:rsid w:val="00A112CD"/>
    <w:rsid w:val="00A846B7"/>
    <w:rsid w:val="00AC79B4"/>
    <w:rsid w:val="00B466F4"/>
    <w:rsid w:val="00B8019B"/>
    <w:rsid w:val="00B926F2"/>
    <w:rsid w:val="00C62B24"/>
    <w:rsid w:val="00CC794A"/>
    <w:rsid w:val="00D35AED"/>
    <w:rsid w:val="00D37F0D"/>
    <w:rsid w:val="00D75D9D"/>
    <w:rsid w:val="00E272B3"/>
    <w:rsid w:val="00E97E26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vsr63.ru/blog/pravila-protivopozharnogo-rezhima-utverzhdyonnye-postanovleniem-pravitelstva-rf-ot-25-04-2012-g-390/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2019-12-24T14:07:00Z</cp:lastPrinted>
  <dcterms:created xsi:type="dcterms:W3CDTF">2020-02-10T07:01:00Z</dcterms:created>
  <dcterms:modified xsi:type="dcterms:W3CDTF">2020-02-10T07:01:00Z</dcterms:modified>
</cp:coreProperties>
</file>